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778" w:rsidRPr="00574219" w:rsidRDefault="00CF6778" w:rsidP="00522A93">
      <w:pPr>
        <w:pStyle w:val="Obsah1"/>
        <w:jc w:val="both"/>
        <w:rPr>
          <w:b w:val="0"/>
        </w:rPr>
      </w:pPr>
      <w:r w:rsidRPr="00574219">
        <w:rPr>
          <w:b w:val="0"/>
        </w:rPr>
        <w:t>OBSAH</w:t>
      </w:r>
    </w:p>
    <w:p w:rsidR="00CF6778" w:rsidRPr="00574219" w:rsidRDefault="00CF6778" w:rsidP="005C6707">
      <w:pPr>
        <w:pStyle w:val="PD"/>
      </w:pPr>
    </w:p>
    <w:p w:rsidR="00916302" w:rsidRPr="00574219" w:rsidRDefault="00231EE5">
      <w:pPr>
        <w:pStyle w:val="Obsah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</w:rPr>
      </w:pPr>
      <w:r w:rsidRPr="00574219">
        <w:rPr>
          <w:b w:val="0"/>
        </w:rPr>
        <w:fldChar w:fldCharType="begin"/>
      </w:r>
      <w:r w:rsidR="00CF6778" w:rsidRPr="00574219">
        <w:rPr>
          <w:b w:val="0"/>
        </w:rPr>
        <w:instrText xml:space="preserve"> TOC \n \p " " \t "PD nadpis 1;1;PD nadpis 2;2" </w:instrText>
      </w:r>
      <w:r w:rsidRPr="00574219">
        <w:rPr>
          <w:b w:val="0"/>
        </w:rPr>
        <w:fldChar w:fldCharType="separate"/>
      </w:r>
      <w:r w:rsidR="00916302" w:rsidRPr="00574219">
        <w:rPr>
          <w:b w:val="0"/>
        </w:rPr>
        <w:t>G.1</w:t>
      </w:r>
      <w:r w:rsidR="00916302" w:rsidRPr="00574219">
        <w:rPr>
          <w:rFonts w:asciiTheme="minorHAnsi" w:eastAsiaTheme="minorEastAsia" w:hAnsiTheme="minorHAnsi" w:cstheme="minorBidi"/>
          <w:b w:val="0"/>
          <w:bCs w:val="0"/>
        </w:rPr>
        <w:tab/>
      </w:r>
      <w:r w:rsidR="00916302" w:rsidRPr="00574219">
        <w:rPr>
          <w:b w:val="0"/>
        </w:rPr>
        <w:t>Údaje o stavbě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G.1.1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Charakteristika objektu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G.1.2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Kapacitní údaje</w:t>
      </w:r>
    </w:p>
    <w:p w:rsidR="00916302" w:rsidRPr="00574219" w:rsidRDefault="00916302">
      <w:pPr>
        <w:pStyle w:val="Obsah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</w:rPr>
      </w:pPr>
      <w:r w:rsidRPr="00574219">
        <w:rPr>
          <w:b w:val="0"/>
        </w:rPr>
        <w:t>G.2</w:t>
      </w:r>
      <w:r w:rsidRPr="00574219">
        <w:rPr>
          <w:rFonts w:asciiTheme="minorHAnsi" w:eastAsiaTheme="minorEastAsia" w:hAnsiTheme="minorHAnsi" w:cstheme="minorBidi"/>
          <w:b w:val="0"/>
          <w:bCs w:val="0"/>
        </w:rPr>
        <w:tab/>
      </w:r>
      <w:r w:rsidRPr="00574219">
        <w:rPr>
          <w:b w:val="0"/>
        </w:rPr>
        <w:t>Charakteristika provozu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G.2.1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Legislativa</w:t>
      </w:r>
    </w:p>
    <w:p w:rsidR="00916302" w:rsidRPr="00574219" w:rsidRDefault="00916302">
      <w:pPr>
        <w:pStyle w:val="Obsah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</w:rPr>
      </w:pPr>
      <w:r w:rsidRPr="00574219">
        <w:rPr>
          <w:b w:val="0"/>
        </w:rPr>
        <w:t>G.3</w:t>
      </w:r>
      <w:r w:rsidRPr="00574219">
        <w:rPr>
          <w:rFonts w:asciiTheme="minorHAnsi" w:eastAsiaTheme="minorEastAsia" w:hAnsiTheme="minorHAnsi" w:cstheme="minorBidi"/>
          <w:b w:val="0"/>
          <w:bCs w:val="0"/>
        </w:rPr>
        <w:tab/>
      </w:r>
      <w:r w:rsidRPr="00574219">
        <w:rPr>
          <w:b w:val="0"/>
        </w:rPr>
        <w:t>Popis provozu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G.3.1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Příjem zboží a zásobování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G.3.2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Skladování - úseky x.xx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G.3.3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Příprava zeleniny – úsek 3.xx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G.3.4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Příprava masa - úsek 1.xx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G.3.5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Studená kuchyně - úsek 4.xx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G.3.6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Příprava těsta - úsek 2.xx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G.3.7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Varna – úsek 7.xx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G.3.8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Kompletace – úsek 6.xx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G.3.9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265A04"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Výdej – úsek 8.xx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G.3.10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Sklad vozíků – úsek 5.xx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G.3.11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Mytí bílého nádobí – úsek 9.xx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G.3.12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Mytí černého nádobí – úsek 17.xx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G.3.13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Sklad odpadků a obalů – úseky 3.xx a 4.xx</w:t>
      </w:r>
    </w:p>
    <w:p w:rsidR="00916302" w:rsidRPr="00574219" w:rsidRDefault="00916302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574219">
        <w:rPr>
          <w:b w:val="0"/>
        </w:rPr>
        <w:t>G.3.14</w:t>
      </w:r>
      <w:r w:rsidRPr="00574219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Pr="00574219">
        <w:rPr>
          <w:b w:val="0"/>
        </w:rPr>
        <w:t>Úklid</w:t>
      </w:r>
    </w:p>
    <w:p w:rsidR="00916302" w:rsidRPr="00574219" w:rsidRDefault="00916302">
      <w:pPr>
        <w:pStyle w:val="Obsah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</w:rPr>
      </w:pPr>
      <w:r w:rsidRPr="00574219">
        <w:rPr>
          <w:b w:val="0"/>
        </w:rPr>
        <w:t>G.4</w:t>
      </w:r>
      <w:r w:rsidRPr="00574219">
        <w:rPr>
          <w:rFonts w:asciiTheme="minorHAnsi" w:eastAsiaTheme="minorEastAsia" w:hAnsiTheme="minorHAnsi" w:cstheme="minorBidi"/>
          <w:b w:val="0"/>
          <w:bCs w:val="0"/>
        </w:rPr>
        <w:tab/>
      </w:r>
      <w:r w:rsidRPr="00574219">
        <w:rPr>
          <w:b w:val="0"/>
        </w:rPr>
        <w:t>Požadavky na profese</w:t>
      </w:r>
    </w:p>
    <w:p w:rsidR="00916302" w:rsidRPr="00574219" w:rsidRDefault="00916302">
      <w:pPr>
        <w:pStyle w:val="Obsah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</w:rPr>
      </w:pPr>
      <w:r w:rsidRPr="00574219">
        <w:rPr>
          <w:b w:val="0"/>
        </w:rPr>
        <w:t>G.5</w:t>
      </w:r>
      <w:r w:rsidRPr="00574219">
        <w:rPr>
          <w:rFonts w:asciiTheme="minorHAnsi" w:eastAsiaTheme="minorEastAsia" w:hAnsiTheme="minorHAnsi" w:cstheme="minorBidi"/>
          <w:b w:val="0"/>
          <w:bCs w:val="0"/>
        </w:rPr>
        <w:tab/>
      </w:r>
      <w:r w:rsidRPr="00574219">
        <w:rPr>
          <w:b w:val="0"/>
        </w:rPr>
        <w:t>Závěr</w:t>
      </w:r>
    </w:p>
    <w:p w:rsidR="00CF6778" w:rsidRDefault="00231EE5" w:rsidP="00522A93">
      <w:pPr>
        <w:pStyle w:val="PDnadpis1"/>
        <w:numPr>
          <w:ilvl w:val="0"/>
          <w:numId w:val="0"/>
        </w:numPr>
        <w:ind w:left="1134"/>
        <w:jc w:val="both"/>
      </w:pPr>
      <w:r w:rsidRPr="00574219">
        <w:fldChar w:fldCharType="end"/>
      </w:r>
    </w:p>
    <w:p w:rsidR="00CF6778" w:rsidRDefault="00CF6778" w:rsidP="00522A93">
      <w:pPr>
        <w:pStyle w:val="PDnadpis1"/>
        <w:numPr>
          <w:ilvl w:val="0"/>
          <w:numId w:val="0"/>
        </w:numPr>
        <w:ind w:left="1134"/>
        <w:jc w:val="both"/>
      </w:pPr>
      <w:bookmarkStart w:id="0" w:name="_Toc412029782"/>
    </w:p>
    <w:p w:rsidR="00CF6778" w:rsidRDefault="00CF6778" w:rsidP="005C6707">
      <w:pPr>
        <w:pStyle w:val="PD"/>
      </w:pPr>
    </w:p>
    <w:p w:rsidR="00CF6778" w:rsidRDefault="00265A04" w:rsidP="00265A04">
      <w:pPr>
        <w:pStyle w:val="PD"/>
        <w:tabs>
          <w:tab w:val="clear" w:pos="2552"/>
          <w:tab w:val="clear" w:pos="5103"/>
          <w:tab w:val="clear" w:pos="9070"/>
          <w:tab w:val="left" w:pos="1739"/>
        </w:tabs>
      </w:pPr>
      <w:r>
        <w:tab/>
      </w:r>
    </w:p>
    <w:p w:rsidR="00265A04" w:rsidRDefault="00265A04" w:rsidP="00265A04">
      <w:pPr>
        <w:pStyle w:val="PD"/>
        <w:tabs>
          <w:tab w:val="clear" w:pos="2552"/>
          <w:tab w:val="clear" w:pos="5103"/>
          <w:tab w:val="clear" w:pos="9070"/>
          <w:tab w:val="left" w:pos="1739"/>
        </w:tabs>
      </w:pPr>
    </w:p>
    <w:p w:rsidR="003050BA" w:rsidRPr="005518E0" w:rsidRDefault="00363DF7" w:rsidP="00522A93">
      <w:pPr>
        <w:pStyle w:val="PDnadpis1"/>
        <w:jc w:val="both"/>
      </w:pPr>
      <w:bookmarkStart w:id="1" w:name="_Toc422406047"/>
      <w:bookmarkStart w:id="2" w:name="_Toc441132763"/>
      <w:bookmarkStart w:id="3" w:name="_Toc471204074"/>
      <w:bookmarkStart w:id="4" w:name="_Toc475703612"/>
      <w:r>
        <w:lastRenderedPageBreak/>
        <w:t>Údaje o stavbě</w:t>
      </w:r>
      <w:bookmarkEnd w:id="0"/>
      <w:bookmarkEnd w:id="1"/>
      <w:bookmarkEnd w:id="2"/>
      <w:bookmarkEnd w:id="3"/>
      <w:bookmarkEnd w:id="4"/>
    </w:p>
    <w:p w:rsidR="00D33DBE" w:rsidRPr="00C7541E" w:rsidRDefault="00D33DBE" w:rsidP="005C6707">
      <w:pPr>
        <w:pStyle w:val="PD"/>
        <w:spacing w:after="120"/>
      </w:pPr>
      <w:r w:rsidRPr="00C7541E">
        <w:t xml:space="preserve">Název </w:t>
      </w:r>
      <w:r>
        <w:t>stavby:</w:t>
      </w:r>
      <w:r>
        <w:tab/>
      </w:r>
      <w:r>
        <w:tab/>
      </w:r>
      <w:r w:rsidR="008B4FC3">
        <w:t xml:space="preserve">Domov </w:t>
      </w:r>
      <w:r w:rsidR="00315AC2">
        <w:t>Pod Lipami Smečno</w:t>
      </w:r>
    </w:p>
    <w:p w:rsidR="00D33DBE" w:rsidRPr="00C7541E" w:rsidRDefault="00D33DBE" w:rsidP="005C6707">
      <w:pPr>
        <w:pStyle w:val="PD"/>
        <w:spacing w:after="120"/>
      </w:pPr>
      <w:r>
        <w:t>Místo stavby:</w:t>
      </w:r>
      <w:r>
        <w:tab/>
      </w:r>
      <w:r>
        <w:tab/>
      </w:r>
      <w:r w:rsidR="00315AC2">
        <w:t>Zámek 1</w:t>
      </w:r>
      <w:r w:rsidR="00B4522F" w:rsidRPr="00B4522F">
        <w:t xml:space="preserve">, </w:t>
      </w:r>
      <w:r w:rsidR="00315AC2">
        <w:t>273 05</w:t>
      </w:r>
      <w:r w:rsidR="008B4FC3">
        <w:t xml:space="preserve">, </w:t>
      </w:r>
      <w:r w:rsidR="00315AC2">
        <w:t>Smečno</w:t>
      </w:r>
    </w:p>
    <w:p w:rsidR="00D33DBE" w:rsidRPr="00C7541E" w:rsidRDefault="00D33DBE" w:rsidP="005C6707">
      <w:pPr>
        <w:pStyle w:val="PD"/>
        <w:spacing w:after="120"/>
      </w:pPr>
      <w:r w:rsidRPr="00C7541E">
        <w:t>Charakter stavby:</w:t>
      </w:r>
      <w:r w:rsidRPr="00C7541E">
        <w:tab/>
      </w:r>
      <w:r w:rsidRPr="00C7541E">
        <w:tab/>
      </w:r>
      <w:r w:rsidR="008B4FC3">
        <w:t>trvalá stavba</w:t>
      </w:r>
    </w:p>
    <w:p w:rsidR="00D33DBE" w:rsidRPr="00C7541E" w:rsidRDefault="00D33DBE" w:rsidP="005C6707">
      <w:pPr>
        <w:pStyle w:val="PD"/>
        <w:spacing w:after="120"/>
      </w:pPr>
      <w:r w:rsidRPr="00C7541E">
        <w:t>Účel stavby:</w:t>
      </w:r>
      <w:r w:rsidRPr="00C7541E">
        <w:tab/>
      </w:r>
      <w:r w:rsidRPr="00C7541E">
        <w:tab/>
      </w:r>
      <w:r w:rsidR="00265A04">
        <w:t xml:space="preserve">Rekonstrukce </w:t>
      </w:r>
      <w:r w:rsidR="00C20A46">
        <w:t>kuchyn</w:t>
      </w:r>
      <w:r w:rsidR="00265A04">
        <w:t>ě</w:t>
      </w:r>
    </w:p>
    <w:p w:rsidR="00D33DBE" w:rsidRDefault="00D33DBE" w:rsidP="005C6707">
      <w:pPr>
        <w:pStyle w:val="PD"/>
      </w:pPr>
      <w:r w:rsidRPr="00C7541E">
        <w:t xml:space="preserve">Předmětem dokumentace je projekt </w:t>
      </w:r>
      <w:r>
        <w:t xml:space="preserve">na </w:t>
      </w:r>
      <w:r w:rsidR="00574219">
        <w:t xml:space="preserve">rekonstrukci </w:t>
      </w:r>
      <w:r w:rsidR="009D26A7">
        <w:t>kuchyn</w:t>
      </w:r>
      <w:r w:rsidR="00265A04">
        <w:t>ě</w:t>
      </w:r>
      <w:r w:rsidR="009D26A7">
        <w:t xml:space="preserve"> v</w:t>
      </w:r>
      <w:r w:rsidR="008B4FC3">
        <w:t> objektu domova pro seniory</w:t>
      </w:r>
      <w:r>
        <w:t>.</w:t>
      </w:r>
    </w:p>
    <w:p w:rsidR="00363DF7" w:rsidRDefault="00363DF7" w:rsidP="005C6707">
      <w:pPr>
        <w:pStyle w:val="PDnadpis2"/>
      </w:pPr>
      <w:bookmarkStart w:id="5" w:name="_Toc412029783"/>
      <w:bookmarkStart w:id="6" w:name="_Toc422406048"/>
      <w:bookmarkStart w:id="7" w:name="_Toc441132764"/>
      <w:bookmarkStart w:id="8" w:name="_Toc471204075"/>
      <w:bookmarkStart w:id="9" w:name="_Toc475703613"/>
      <w:r>
        <w:t>Charakteristika objektu</w:t>
      </w:r>
      <w:bookmarkEnd w:id="5"/>
      <w:bookmarkEnd w:id="6"/>
      <w:bookmarkEnd w:id="7"/>
      <w:bookmarkEnd w:id="8"/>
      <w:bookmarkEnd w:id="9"/>
    </w:p>
    <w:p w:rsidR="00574219" w:rsidRDefault="00363DF7" w:rsidP="00574219">
      <w:pPr>
        <w:pStyle w:val="PD"/>
      </w:pPr>
      <w:r w:rsidRPr="00C707C5">
        <w:t xml:space="preserve">Jedná se o </w:t>
      </w:r>
      <w:r w:rsidR="00315AC2">
        <w:t>komple</w:t>
      </w:r>
      <w:r w:rsidR="00265A04">
        <w:t>x</w:t>
      </w:r>
      <w:r w:rsidR="008B4FC3">
        <w:t xml:space="preserve"> </w:t>
      </w:r>
      <w:r w:rsidR="00315AC2">
        <w:t>v zámeckém parku</w:t>
      </w:r>
      <w:r w:rsidR="008B4FC3">
        <w:t xml:space="preserve">, </w:t>
      </w:r>
      <w:r w:rsidR="00315AC2">
        <w:t>ve kterém se nachází</w:t>
      </w:r>
      <w:r w:rsidR="008B4FC3">
        <w:t xml:space="preserve"> domov pro seniory</w:t>
      </w:r>
      <w:r w:rsidR="00CD7342">
        <w:t xml:space="preserve">. </w:t>
      </w:r>
      <w:r w:rsidR="00315AC2">
        <w:t>Samotná kuchyně se zázemím je umístěna v 1.NP jednoho z objektů.</w:t>
      </w:r>
    </w:p>
    <w:p w:rsidR="00C33383" w:rsidRDefault="00C33383" w:rsidP="005C6707">
      <w:pPr>
        <w:pStyle w:val="PDnadpis2"/>
      </w:pPr>
      <w:bookmarkStart w:id="10" w:name="_Toc412029784"/>
      <w:bookmarkStart w:id="11" w:name="_Toc422406049"/>
      <w:bookmarkStart w:id="12" w:name="_Toc441132765"/>
      <w:bookmarkStart w:id="13" w:name="_Toc471204076"/>
      <w:bookmarkStart w:id="14" w:name="_Toc475703614"/>
      <w:r>
        <w:t>Kapacitní údaje</w:t>
      </w:r>
      <w:bookmarkEnd w:id="10"/>
      <w:bookmarkEnd w:id="11"/>
      <w:bookmarkEnd w:id="12"/>
      <w:bookmarkEnd w:id="13"/>
      <w:bookmarkEnd w:id="14"/>
    </w:p>
    <w:p w:rsidR="00254372" w:rsidRPr="00254372" w:rsidRDefault="00254372" w:rsidP="005C6707">
      <w:pPr>
        <w:pStyle w:val="PD"/>
      </w:pPr>
      <w:r w:rsidRPr="00490524">
        <w:t xml:space="preserve">Kuchyně je projektována na kapacitu </w:t>
      </w:r>
      <w:r w:rsidR="00490524" w:rsidRPr="00490524">
        <w:t>500</w:t>
      </w:r>
      <w:r w:rsidR="0057265C" w:rsidRPr="00490524">
        <w:t xml:space="preserve"> HJ/den.</w:t>
      </w:r>
    </w:p>
    <w:p w:rsidR="001F255D" w:rsidRPr="006873E5" w:rsidRDefault="001F255D" w:rsidP="005C6707">
      <w:pPr>
        <w:pStyle w:val="PDPodtrenpodnadpis"/>
      </w:pPr>
      <w:r w:rsidRPr="006873E5">
        <w:t>Výpis varného zařízení:</w:t>
      </w:r>
    </w:p>
    <w:p w:rsidR="00333A07" w:rsidRDefault="00574219" w:rsidP="00333A07">
      <w:pPr>
        <w:pStyle w:val="PD"/>
        <w:spacing w:after="120"/>
      </w:pPr>
      <w:r>
        <w:t>2</w:t>
      </w:r>
      <w:r w:rsidR="00333A07">
        <w:t>x Kotel elektrický 1</w:t>
      </w:r>
      <w:r>
        <w:t>0</w:t>
      </w:r>
      <w:r w:rsidR="00333A07">
        <w:t>0 l</w:t>
      </w:r>
    </w:p>
    <w:p w:rsidR="00FC3CA1" w:rsidRDefault="00574219" w:rsidP="00333A07">
      <w:pPr>
        <w:pStyle w:val="PD"/>
        <w:spacing w:after="120"/>
      </w:pPr>
      <w:r>
        <w:t>2</w:t>
      </w:r>
      <w:r w:rsidR="00FC3CA1">
        <w:t>x Kotel</w:t>
      </w:r>
      <w:r>
        <w:t xml:space="preserve"> míchací</w:t>
      </w:r>
      <w:r w:rsidR="00FC3CA1">
        <w:t xml:space="preserve"> elektrický 1</w:t>
      </w:r>
      <w:r>
        <w:t>6</w:t>
      </w:r>
      <w:r w:rsidR="00FC3CA1">
        <w:t>0 l</w:t>
      </w:r>
    </w:p>
    <w:p w:rsidR="00574219" w:rsidRDefault="00574219" w:rsidP="005C6707">
      <w:pPr>
        <w:pStyle w:val="PD"/>
        <w:spacing w:after="120"/>
      </w:pPr>
      <w:r>
        <w:t xml:space="preserve">1x Sklopná pánev </w:t>
      </w:r>
      <w:proofErr w:type="gramStart"/>
      <w:r>
        <w:t>60l</w:t>
      </w:r>
      <w:proofErr w:type="gramEnd"/>
    </w:p>
    <w:p w:rsidR="00574219" w:rsidRDefault="00574219" w:rsidP="005C6707">
      <w:pPr>
        <w:pStyle w:val="PD"/>
        <w:spacing w:after="120"/>
      </w:pPr>
      <w:r>
        <w:t xml:space="preserve">1x Multifunkční pánev </w:t>
      </w:r>
      <w:proofErr w:type="gramStart"/>
      <w:r>
        <w:t>100l</w:t>
      </w:r>
      <w:proofErr w:type="gramEnd"/>
    </w:p>
    <w:p w:rsidR="00574219" w:rsidRDefault="00574219" w:rsidP="005C6707">
      <w:pPr>
        <w:pStyle w:val="PD"/>
        <w:spacing w:after="120"/>
      </w:pPr>
      <w:r>
        <w:t xml:space="preserve">1x Multifunkční pánev </w:t>
      </w:r>
      <w:proofErr w:type="gramStart"/>
      <w:r>
        <w:t>150l</w:t>
      </w:r>
      <w:proofErr w:type="gramEnd"/>
    </w:p>
    <w:p w:rsidR="00333A07" w:rsidRDefault="00574219" w:rsidP="005C6707">
      <w:pPr>
        <w:pStyle w:val="PD"/>
        <w:spacing w:after="120"/>
      </w:pPr>
      <w:r>
        <w:t>2</w:t>
      </w:r>
      <w:r w:rsidR="00333A07">
        <w:t xml:space="preserve">x </w:t>
      </w:r>
      <w:r>
        <w:t>Plynový sporák</w:t>
      </w:r>
    </w:p>
    <w:p w:rsidR="00333A07" w:rsidRDefault="00333A07" w:rsidP="00397E7B">
      <w:pPr>
        <w:pStyle w:val="PD"/>
        <w:spacing w:after="120"/>
      </w:pPr>
      <w:r>
        <w:t>2x Pánev sklopná elektrická</w:t>
      </w:r>
    </w:p>
    <w:p w:rsidR="00CD7342" w:rsidRDefault="00FC3CA1" w:rsidP="00397E7B">
      <w:pPr>
        <w:pStyle w:val="PD"/>
        <w:spacing w:after="120"/>
      </w:pPr>
      <w:r>
        <w:t xml:space="preserve">1x </w:t>
      </w:r>
      <w:r w:rsidR="00CD7342">
        <w:t>Konvektomat elektrický</w:t>
      </w:r>
      <w:r>
        <w:t xml:space="preserve"> pro 20</w:t>
      </w:r>
      <w:r w:rsidR="00CD7342">
        <w:t xml:space="preserve"> GN 1/1</w:t>
      </w:r>
    </w:p>
    <w:p w:rsidR="00397E7B" w:rsidRDefault="00FC3CA1" w:rsidP="00397E7B">
      <w:pPr>
        <w:pStyle w:val="PD"/>
      </w:pPr>
      <w:r>
        <w:t xml:space="preserve">2x </w:t>
      </w:r>
      <w:r w:rsidR="00397E7B">
        <w:t>Konvektomat elektrický pro 10 GN 1/1</w:t>
      </w:r>
    </w:p>
    <w:p w:rsidR="005713D3" w:rsidRDefault="005713D3" w:rsidP="00522A93">
      <w:pPr>
        <w:pStyle w:val="PDnadpis1"/>
        <w:jc w:val="both"/>
      </w:pPr>
      <w:bookmarkStart w:id="15" w:name="_Toc412029785"/>
      <w:bookmarkStart w:id="16" w:name="_Toc422406050"/>
      <w:bookmarkStart w:id="17" w:name="_Toc441132766"/>
      <w:bookmarkStart w:id="18" w:name="_Toc471204077"/>
      <w:bookmarkStart w:id="19" w:name="_Toc475703615"/>
      <w:r>
        <w:t>Charakteristika provozu</w:t>
      </w:r>
      <w:bookmarkEnd w:id="15"/>
      <w:bookmarkEnd w:id="16"/>
      <w:bookmarkEnd w:id="17"/>
      <w:bookmarkEnd w:id="18"/>
      <w:bookmarkEnd w:id="19"/>
    </w:p>
    <w:p w:rsidR="00333A07" w:rsidRDefault="00333A07" w:rsidP="00333A07">
      <w:pPr>
        <w:pStyle w:val="PDPodtrenpodnadpis"/>
      </w:pPr>
      <w:r>
        <w:t>Suroviny</w:t>
      </w:r>
    </w:p>
    <w:p w:rsidR="007014F4" w:rsidRDefault="007014F4" w:rsidP="005C6707">
      <w:pPr>
        <w:pStyle w:val="PD"/>
      </w:pPr>
      <w:r>
        <w:t>Při přípravě pokrmů se počítá s vyžitím převážně čerstvých surovin, kuchyňských úprav masa, hrubé a čisté zeleniny. Suroviny jsou skladovány krátkodobě, ve vyčleněných místech a zařízení. Doplňování stavu zásob probíhá plynule. Maso je dodáváno rozbourané a očištěné.</w:t>
      </w:r>
    </w:p>
    <w:p w:rsidR="00574219" w:rsidRDefault="00574219" w:rsidP="00333A07">
      <w:pPr>
        <w:pStyle w:val="PDPodtrenpodnadpis"/>
      </w:pPr>
    </w:p>
    <w:p w:rsidR="00574219" w:rsidRDefault="00574219" w:rsidP="00333A07">
      <w:pPr>
        <w:pStyle w:val="PDPodtrenpodnadpis"/>
      </w:pPr>
    </w:p>
    <w:p w:rsidR="00333A07" w:rsidRPr="003C46E8" w:rsidRDefault="00333A07" w:rsidP="00333A07">
      <w:pPr>
        <w:pStyle w:val="PDPodtrenpodnadpis"/>
        <w:rPr>
          <w:lang w:val="cs-CZ"/>
        </w:rPr>
      </w:pPr>
      <w:r>
        <w:lastRenderedPageBreak/>
        <w:t>Materiály</w:t>
      </w:r>
      <w:r>
        <w:rPr>
          <w:lang w:val="cs-CZ"/>
        </w:rPr>
        <w:t>, zařízení</w:t>
      </w:r>
    </w:p>
    <w:p w:rsidR="007014F4" w:rsidRDefault="00CD7342" w:rsidP="005C6707">
      <w:pPr>
        <w:pStyle w:val="PD"/>
      </w:pPr>
      <w:r>
        <w:t>Technologická zařízení a nábytek jsou navrženy z materiálů, které odpovídají českým standardům a jsou zdravotně nezávadné. Jedná se o nerez pro potravinářské účely 18/10.</w:t>
      </w:r>
      <w:r w:rsidRPr="0096404B">
        <w:t xml:space="preserve"> </w:t>
      </w:r>
      <w:r>
        <w:t xml:space="preserve"> Veškeré zařízení bude mít atest pro užívání v ČR. Dodavatel technologického zařízení zajistí záruční a pozáruční servis a proškolení zaměstnanců kuchyně pro bezpečné a správné ovládání zařízení.</w:t>
      </w:r>
    </w:p>
    <w:p w:rsidR="00CD7342" w:rsidRDefault="00CD7342" w:rsidP="00CD7342">
      <w:pPr>
        <w:pStyle w:val="PD"/>
      </w:pPr>
      <w:r>
        <w:t xml:space="preserve">Technologické zařízení je doplněno pracovními a odkládacími stoly, dřezy a regály. Skladové regály ve skladu potravin budou mít úložné plochy upraveny nerezem a </w:t>
      </w:r>
      <w:proofErr w:type="spellStart"/>
      <w:r>
        <w:t>komaxitem</w:t>
      </w:r>
      <w:proofErr w:type="spellEnd"/>
      <w:r>
        <w:t>.</w:t>
      </w:r>
    </w:p>
    <w:p w:rsidR="007014F4" w:rsidRDefault="007014F4" w:rsidP="005C6707">
      <w:pPr>
        <w:pStyle w:val="PD"/>
      </w:pPr>
      <w:r>
        <w:t>Technologická zařízení budou napojena na elektrickou energ</w:t>
      </w:r>
      <w:r w:rsidR="00397397">
        <w:t>ii, vodovodní řad,</w:t>
      </w:r>
      <w:r w:rsidR="00CD7342">
        <w:t xml:space="preserve"> kanalizaci a plyn. </w:t>
      </w:r>
      <w:r>
        <w:t>Požadavky na připoj</w:t>
      </w:r>
      <w:r w:rsidR="00397397">
        <w:t xml:space="preserve">ení zařízení je specifikováno ve </w:t>
      </w:r>
      <w:r>
        <w:t>výkresové dokumentaci.</w:t>
      </w:r>
    </w:p>
    <w:p w:rsidR="00333A07" w:rsidRDefault="00333A07" w:rsidP="00333A07">
      <w:pPr>
        <w:pStyle w:val="PDPodtrenpodnadpis"/>
      </w:pPr>
      <w:r>
        <w:t xml:space="preserve">Osvětlení, odvětrávání, teploty </w:t>
      </w:r>
    </w:p>
    <w:p w:rsidR="007014F4" w:rsidRDefault="007014F4" w:rsidP="005C6707">
      <w:pPr>
        <w:pStyle w:val="PD"/>
        <w:rPr>
          <w:color w:val="FF0000"/>
        </w:rPr>
      </w:pPr>
      <w:r>
        <w:t xml:space="preserve">Osvětlení je zajištěno </w:t>
      </w:r>
      <w:r w:rsidR="00DB3970">
        <w:t xml:space="preserve">přímým a </w:t>
      </w:r>
      <w:r>
        <w:t>nepřímým způsobem, pomocí zářivkových světel. Osvětlení je dimenzováno na normativní požadavek 6</w:t>
      </w:r>
      <w:r w:rsidRPr="00525CA9">
        <w:t xml:space="preserve">00 </w:t>
      </w:r>
      <w:proofErr w:type="spellStart"/>
      <w:r w:rsidRPr="00525CA9">
        <w:t>lx</w:t>
      </w:r>
      <w:proofErr w:type="spellEnd"/>
      <w:r w:rsidRPr="00525CA9">
        <w:t>.</w:t>
      </w:r>
    </w:p>
    <w:p w:rsidR="007014F4" w:rsidRDefault="007014F4" w:rsidP="005C6707">
      <w:pPr>
        <w:pStyle w:val="PD"/>
      </w:pPr>
      <w:r>
        <w:t>Kuchyně bude dostatečně větraná</w:t>
      </w:r>
      <w:r w:rsidR="00C03B4D">
        <w:t xml:space="preserve"> </w:t>
      </w:r>
      <w:r w:rsidR="00265A04">
        <w:t xml:space="preserve">přirozeným a </w:t>
      </w:r>
      <w:r w:rsidR="00C03B4D">
        <w:t>nuceným odvětráváním</w:t>
      </w:r>
      <w:r>
        <w:t xml:space="preserve">. Odsávání par bude umístěno nad varnými zařízeními. Digestoře budou opatřeny tukovými filtry a osvětlením. </w:t>
      </w:r>
      <w:r w:rsidR="00CD7342" w:rsidRPr="0081334C">
        <w:t>Tato</w:t>
      </w:r>
      <w:r w:rsidR="00CD7342">
        <w:t xml:space="preserve"> PD dává pouze doporučení a nezabývá se dále projektem VZT.</w:t>
      </w:r>
    </w:p>
    <w:p w:rsidR="007014F4" w:rsidRDefault="007014F4" w:rsidP="005C6707">
      <w:pPr>
        <w:pStyle w:val="PD"/>
      </w:pPr>
      <w:r>
        <w:t>Projektem určená umyvadla pro umývání rukou jsou s </w:t>
      </w:r>
      <w:proofErr w:type="spellStart"/>
      <w:r>
        <w:t>kolením</w:t>
      </w:r>
      <w:proofErr w:type="spellEnd"/>
      <w:r>
        <w:t xml:space="preserve"> ovládáním. Voda na výstupu bude v rozmezí </w:t>
      </w:r>
      <w:proofErr w:type="gramStart"/>
      <w:r>
        <w:t>50 – 60</w:t>
      </w:r>
      <w:proofErr w:type="gramEnd"/>
      <w:r>
        <w:t>°C.</w:t>
      </w:r>
    </w:p>
    <w:p w:rsidR="007014F4" w:rsidRDefault="00265A04" w:rsidP="005C6707">
      <w:pPr>
        <w:pStyle w:val="PD"/>
      </w:pPr>
      <w:r>
        <w:t>Chlazené a suché sklady zůstanou stávající</w:t>
      </w:r>
      <w:r w:rsidR="007014F4">
        <w:t xml:space="preserve">. </w:t>
      </w:r>
      <w:r w:rsidR="00397397">
        <w:t>Suché</w:t>
      </w:r>
      <w:r w:rsidR="007014F4">
        <w:t xml:space="preserve"> sklady jsou větrány přirozeným způsobem</w:t>
      </w:r>
      <w:r>
        <w:t xml:space="preserve">. </w:t>
      </w:r>
      <w:r w:rsidR="007014F4">
        <w:t>Ve skladech budou dodržovány předpisové teploty, které bude možné kontrolovat teploměry umístěnými v jednotlivých skladech. Chladící skříně jsou vybaveny teploměry, které ukazují teplotu na displeji. Veškeré teploty budou zapisovány podle platných předpisů.</w:t>
      </w:r>
    </w:p>
    <w:p w:rsidR="00C03B4D" w:rsidRDefault="00C03B4D" w:rsidP="00C03B4D">
      <w:pPr>
        <w:pStyle w:val="PDPodtrenpodnadpis"/>
      </w:pPr>
      <w:r>
        <w:t>Servírování</w:t>
      </w:r>
      <w:r>
        <w:rPr>
          <w:lang w:val="cs-CZ"/>
        </w:rPr>
        <w:t>,</w:t>
      </w:r>
      <w:r>
        <w:t xml:space="preserve"> konzumace</w:t>
      </w:r>
    </w:p>
    <w:p w:rsidR="001679A9" w:rsidRDefault="00C03B4D" w:rsidP="001679A9">
      <w:pPr>
        <w:pStyle w:val="PD"/>
      </w:pPr>
      <w:r w:rsidRPr="001963D6">
        <w:rPr>
          <w:shd w:val="clear" w:color="auto" w:fill="auto"/>
        </w:rPr>
        <w:t xml:space="preserve">Samotná konzumace </w:t>
      </w:r>
      <w:r w:rsidR="001963D6">
        <w:rPr>
          <w:shd w:val="clear" w:color="auto" w:fill="auto"/>
        </w:rPr>
        <w:t xml:space="preserve">části </w:t>
      </w:r>
      <w:r w:rsidRPr="001963D6">
        <w:rPr>
          <w:shd w:val="clear" w:color="auto" w:fill="auto"/>
        </w:rPr>
        <w:t>hotových jídel bude probíhat v</w:t>
      </w:r>
      <w:r w:rsidR="00265A04">
        <w:rPr>
          <w:shd w:val="clear" w:color="auto" w:fill="auto"/>
        </w:rPr>
        <w:t> </w:t>
      </w:r>
      <w:r w:rsidRPr="001963D6">
        <w:rPr>
          <w:shd w:val="clear" w:color="auto" w:fill="auto"/>
        </w:rPr>
        <w:t>prostorách</w:t>
      </w:r>
      <w:r w:rsidR="00265A04">
        <w:rPr>
          <w:shd w:val="clear" w:color="auto" w:fill="auto"/>
        </w:rPr>
        <w:t xml:space="preserve"> stávající</w:t>
      </w:r>
      <w:r w:rsidRPr="001963D6">
        <w:rPr>
          <w:shd w:val="clear" w:color="auto" w:fill="auto"/>
        </w:rPr>
        <w:t xml:space="preserve"> jídelny</w:t>
      </w:r>
      <w:r w:rsidRPr="001963D6">
        <w:t>.</w:t>
      </w:r>
      <w:r w:rsidR="001963D6">
        <w:t xml:space="preserve"> </w:t>
      </w:r>
      <w:r w:rsidR="007014F4" w:rsidRPr="001963D6">
        <w:t>Jídla budou servírovaná na porcelánovém nádobí.</w:t>
      </w:r>
      <w:r w:rsidR="00496B1B" w:rsidRPr="001963D6">
        <w:t xml:space="preserve"> Nádobí bude předehříváno ve výdejové části na teplotu </w:t>
      </w:r>
      <w:proofErr w:type="gramStart"/>
      <w:r w:rsidR="00496B1B" w:rsidRPr="001963D6">
        <w:t>65°C</w:t>
      </w:r>
      <w:proofErr w:type="gramEnd"/>
      <w:r w:rsidR="00496B1B" w:rsidRPr="001963D6">
        <w:t>, tak aby byl dosažen požadavek na pokles teploty.</w:t>
      </w:r>
      <w:r w:rsidR="007014F4" w:rsidRPr="001963D6">
        <w:t xml:space="preserve"> Transport pokrmů z pro</w:t>
      </w:r>
      <w:r w:rsidR="00496B1B" w:rsidRPr="001963D6">
        <w:t>stor kuc</w:t>
      </w:r>
      <w:r w:rsidRPr="001963D6">
        <w:t xml:space="preserve">hyně do prostoru jídelny </w:t>
      </w:r>
      <w:r w:rsidR="007014F4" w:rsidRPr="001963D6">
        <w:t>bude probíhat bezprostředně po uvaření a naservírování na nádobí. Teplota při tomto procesu neklesne pod stanovenou hodnotu 65°C</w:t>
      </w:r>
      <w:r w:rsidR="00496B1B" w:rsidRPr="001963D6">
        <w:t>.</w:t>
      </w:r>
    </w:p>
    <w:p w:rsidR="001963D6" w:rsidRDefault="001963D6" w:rsidP="001679A9">
      <w:pPr>
        <w:pStyle w:val="PD"/>
      </w:pPr>
      <w:r>
        <w:t>Část jídel bude servírována do tabletových systémů a rozvážena imobilním klientům na pokoje.</w:t>
      </w:r>
    </w:p>
    <w:p w:rsidR="003B387D" w:rsidRDefault="003B387D" w:rsidP="001679A9">
      <w:pPr>
        <w:pStyle w:val="PD"/>
      </w:pPr>
      <w:r>
        <w:t xml:space="preserve">Také bude zařízeno servírování do </w:t>
      </w:r>
      <w:proofErr w:type="spellStart"/>
      <w:r>
        <w:t>termoportů</w:t>
      </w:r>
      <w:proofErr w:type="spellEnd"/>
      <w:r>
        <w:t xml:space="preserve"> a rozvoz do dalších zařízení.</w:t>
      </w:r>
    </w:p>
    <w:p w:rsidR="00DB3970" w:rsidRDefault="00DB3970" w:rsidP="001963D6">
      <w:pPr>
        <w:pStyle w:val="PDPodtrenpodnadpis"/>
      </w:pPr>
    </w:p>
    <w:p w:rsidR="001963D6" w:rsidRPr="00265A04" w:rsidRDefault="001963D6" w:rsidP="001963D6">
      <w:pPr>
        <w:pStyle w:val="PDPodtrenpodnadpis"/>
        <w:rPr>
          <w:lang w:val="cs-CZ"/>
        </w:rPr>
      </w:pPr>
      <w:r w:rsidRPr="00265A04">
        <w:lastRenderedPageBreak/>
        <w:t xml:space="preserve">Hygienické zázemí </w:t>
      </w:r>
      <w:r w:rsidR="00CE62D7" w:rsidRPr="00265A04">
        <w:rPr>
          <w:lang w:val="cs-CZ"/>
        </w:rPr>
        <w:t xml:space="preserve">pro zaměstnance a </w:t>
      </w:r>
      <w:r w:rsidR="00265A04" w:rsidRPr="00265A04">
        <w:rPr>
          <w:lang w:val="cs-CZ"/>
        </w:rPr>
        <w:t>klienty</w:t>
      </w:r>
    </w:p>
    <w:p w:rsidR="006E0EAB" w:rsidRPr="00265A04" w:rsidRDefault="001679A9" w:rsidP="00715B3C">
      <w:pPr>
        <w:pStyle w:val="PD"/>
      </w:pPr>
      <w:r w:rsidRPr="00265A04">
        <w:t xml:space="preserve">Hygienické zázemí </w:t>
      </w:r>
      <w:r w:rsidR="00265A04" w:rsidRPr="00265A04">
        <w:t>pro zaměst</w:t>
      </w:r>
      <w:r w:rsidR="006731CC">
        <w:t>n</w:t>
      </w:r>
      <w:r w:rsidR="00265A04" w:rsidRPr="00265A04">
        <w:t>ance a klienty zůstane stávající</w:t>
      </w:r>
    </w:p>
    <w:p w:rsidR="005713D3" w:rsidRDefault="005713D3" w:rsidP="005C6707">
      <w:pPr>
        <w:pStyle w:val="PDnadpis2"/>
      </w:pPr>
      <w:bookmarkStart w:id="20" w:name="_Toc412029786"/>
      <w:bookmarkStart w:id="21" w:name="_Toc422406051"/>
      <w:bookmarkStart w:id="22" w:name="_Toc441132767"/>
      <w:bookmarkStart w:id="23" w:name="_Toc471204078"/>
      <w:bookmarkStart w:id="24" w:name="_Toc475703616"/>
      <w:r>
        <w:t>Legislativa</w:t>
      </w:r>
      <w:bookmarkEnd w:id="20"/>
      <w:bookmarkEnd w:id="21"/>
      <w:bookmarkEnd w:id="22"/>
      <w:bookmarkEnd w:id="23"/>
      <w:bookmarkEnd w:id="24"/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 w:rsidRPr="006F03F2">
        <w:t>Nařízení Evropského parlamentu a RADY č. 178/2002, kterým se stanoví zásady a požadavky potravinového práva a pro oblast stravovacích služeb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Nařízení Evropského parlamentu a Rady č. 852/2004o hygieně potravin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Nařízení ES č.2073/2005, o mikrobiologických kritériích pro potraviny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Nařízení Evropského parlamentu a Rady 853/2004, kterým se stanoví zvláštní pravidla pro potraviny živočišného původu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 xml:space="preserve">Kodex hygienických pravidel pro předvařené a vařené potraviny ve veřejném </w:t>
      </w:r>
      <w:proofErr w:type="gramStart"/>
      <w:r>
        <w:t>stravování  CACA</w:t>
      </w:r>
      <w:proofErr w:type="gramEnd"/>
      <w:r>
        <w:t>/RC 39-1993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Zákon č. 258/2000Sb., v úplném změní 471/2005 Sb. o ochraně veřejného zdraví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Prováděcí vyhláška k zákonu č. 258/2000Sb. ministerstva zdravotnictví č. 107/2001 Sb. o hygienických požadavcích na stravovací služby a o zásadách osobní a provozní hygieny při činnostech epidemiologicky závažných a její novela 137/2004 Sb</w:t>
      </w:r>
      <w:r w:rsidR="00A148D6">
        <w:t>.</w:t>
      </w:r>
      <w:r>
        <w:t xml:space="preserve"> a její následná novela č. 602/2006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Zákon 120/2008, kterým se mění zákon</w:t>
      </w:r>
      <w:r w:rsidR="00A148D6">
        <w:t xml:space="preserve"> č. 110/1997 Sb. o potravinách </w:t>
      </w:r>
      <w:r>
        <w:t xml:space="preserve">a </w:t>
      </w:r>
      <w:r w:rsidR="00A148D6">
        <w:t xml:space="preserve">tabákových výrobcích a o změně </w:t>
      </w:r>
      <w:r>
        <w:t>a doplnění některých souvisejících zákonů ve znění pozděj</w:t>
      </w:r>
      <w:r w:rsidR="00A148D6">
        <w:t xml:space="preserve">ších </w:t>
      </w:r>
      <w:r w:rsidR="0014201E">
        <w:t xml:space="preserve">předpisů a souvisejících </w:t>
      </w:r>
      <w:r>
        <w:t>zákonů.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Vyhláška ministerstva zemědělství č. 147/1998 Sb., o z</w:t>
      </w:r>
      <w:r w:rsidR="00A148D6">
        <w:t xml:space="preserve">působu stanovení kritických </w:t>
      </w:r>
      <w:r>
        <w:t>bodů v technologii výroby a její novely 196/2002 Sb. a 161/2004Sb.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Vyhláška</w:t>
      </w:r>
      <w:r w:rsidR="00A148D6">
        <w:t xml:space="preserve"> č. 137/1998 Sb., ministerstva </w:t>
      </w:r>
      <w:r>
        <w:t xml:space="preserve">pro místní rozvoj, o obecných technických požadavcích na výstavbu a její </w:t>
      </w:r>
      <w:proofErr w:type="gramStart"/>
      <w:r>
        <w:t>novela  502</w:t>
      </w:r>
      <w:proofErr w:type="gramEnd"/>
      <w:r>
        <w:t>/2006Sb.</w:t>
      </w:r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  <w:spacing w:after="120"/>
        <w:ind w:left="1281" w:hanging="357"/>
      </w:pPr>
      <w:r>
        <w:t>Zákon č. 125/1997 Sb., o odpadech a jeho novely 185/2001Sb. a 188/2004SB, 38/2000Sb, 383/2008</w:t>
      </w:r>
      <w:proofErr w:type="gramStart"/>
      <w:r>
        <w:t>Sb..</w:t>
      </w:r>
      <w:proofErr w:type="gramEnd"/>
    </w:p>
    <w:p w:rsidR="005713D3" w:rsidRDefault="005713D3" w:rsidP="005C6707">
      <w:pPr>
        <w:pStyle w:val="PD"/>
        <w:numPr>
          <w:ilvl w:val="0"/>
          <w:numId w:val="15"/>
        </w:numPr>
        <w:tabs>
          <w:tab w:val="clear" w:pos="2552"/>
          <w:tab w:val="left" w:pos="1276"/>
        </w:tabs>
      </w:pPr>
      <w:r>
        <w:t xml:space="preserve">Novela nařízení vlády 178/2001 Sb. podmínky pro ochranu zdraví zaměstnanců při práci v dodatku nařízení vlády č. 361/2007 </w:t>
      </w:r>
      <w:proofErr w:type="spellStart"/>
      <w:r>
        <w:t>Sb</w:t>
      </w:r>
      <w:proofErr w:type="spellEnd"/>
      <w:r>
        <w:t>, která je postavena na úroveň zákona.</w:t>
      </w:r>
    </w:p>
    <w:p w:rsidR="005713D3" w:rsidRDefault="005713D3" w:rsidP="00522A93">
      <w:pPr>
        <w:pStyle w:val="PDnadpis1"/>
        <w:jc w:val="both"/>
      </w:pPr>
      <w:bookmarkStart w:id="25" w:name="_Toc412029787"/>
      <w:bookmarkStart w:id="26" w:name="_Toc422406052"/>
      <w:bookmarkStart w:id="27" w:name="_Toc441132768"/>
      <w:bookmarkStart w:id="28" w:name="_Toc471204079"/>
      <w:bookmarkStart w:id="29" w:name="_Toc475703617"/>
      <w:r>
        <w:t>Popis provozu</w:t>
      </w:r>
      <w:bookmarkEnd w:id="25"/>
      <w:bookmarkEnd w:id="26"/>
      <w:bookmarkEnd w:id="27"/>
      <w:bookmarkEnd w:id="28"/>
      <w:bookmarkEnd w:id="29"/>
    </w:p>
    <w:p w:rsidR="005713D3" w:rsidRPr="00D123C4" w:rsidRDefault="00CE62D7" w:rsidP="00CE62D7">
      <w:pPr>
        <w:pStyle w:val="PDnadpis2"/>
      </w:pPr>
      <w:bookmarkStart w:id="30" w:name="_Toc471204080"/>
      <w:bookmarkStart w:id="31" w:name="_Toc475703618"/>
      <w:r>
        <w:t>Příjem zboží a zásobování</w:t>
      </w:r>
      <w:bookmarkEnd w:id="30"/>
      <w:bookmarkEnd w:id="31"/>
    </w:p>
    <w:p w:rsidR="005713D3" w:rsidRPr="005713D3" w:rsidRDefault="005713D3" w:rsidP="005C6707">
      <w:pPr>
        <w:pStyle w:val="PD"/>
        <w:rPr>
          <w:lang w:eastAsia="cs-CZ"/>
        </w:rPr>
      </w:pPr>
      <w:r w:rsidRPr="00265A04">
        <w:t xml:space="preserve">Zásobování bude probíhat pomocí </w:t>
      </w:r>
      <w:r w:rsidR="00303157" w:rsidRPr="00265A04">
        <w:t>zásobovacího</w:t>
      </w:r>
      <w:r w:rsidR="00505B73" w:rsidRPr="00265A04">
        <w:t xml:space="preserve"> vstupu</w:t>
      </w:r>
      <w:r w:rsidR="00EB42A9" w:rsidRPr="00265A04">
        <w:t xml:space="preserve"> </w:t>
      </w:r>
      <w:r w:rsidR="007B23CB" w:rsidRPr="00265A04">
        <w:t>přímo do skladů</w:t>
      </w:r>
      <w:r w:rsidRPr="00265A04">
        <w:t>. Příjem potravin probíhá zcela časově odděleně</w:t>
      </w:r>
      <w:r w:rsidR="00AB1349" w:rsidRPr="00265A04">
        <w:t xml:space="preserve"> od provozu</w:t>
      </w:r>
      <w:r w:rsidR="009725DF" w:rsidRPr="00265A04">
        <w:t>.</w:t>
      </w:r>
    </w:p>
    <w:p w:rsidR="00DB3970" w:rsidRDefault="00DB3970" w:rsidP="00DB3970">
      <w:pPr>
        <w:pStyle w:val="PDnadpis2"/>
        <w:numPr>
          <w:ilvl w:val="0"/>
          <w:numId w:val="0"/>
        </w:numPr>
        <w:ind w:left="1134"/>
      </w:pPr>
      <w:bookmarkStart w:id="32" w:name="_Toc422406053"/>
      <w:bookmarkStart w:id="33" w:name="_Toc441132769"/>
      <w:bookmarkStart w:id="34" w:name="_Toc471204081"/>
      <w:bookmarkStart w:id="35" w:name="_Toc475703619"/>
      <w:bookmarkStart w:id="36" w:name="_Toc412029788"/>
    </w:p>
    <w:p w:rsidR="00DB3970" w:rsidRDefault="00DB3970" w:rsidP="00DB3970">
      <w:pPr>
        <w:pStyle w:val="PDnadpis2"/>
        <w:numPr>
          <w:ilvl w:val="0"/>
          <w:numId w:val="0"/>
        </w:numPr>
        <w:ind w:left="1134"/>
      </w:pPr>
    </w:p>
    <w:p w:rsidR="00303157" w:rsidRDefault="00303157" w:rsidP="005C6707">
      <w:pPr>
        <w:pStyle w:val="PDnadpis2"/>
      </w:pPr>
      <w:proofErr w:type="gramStart"/>
      <w:r>
        <w:lastRenderedPageBreak/>
        <w:t>Sklad</w:t>
      </w:r>
      <w:bookmarkEnd w:id="32"/>
      <w:bookmarkEnd w:id="33"/>
      <w:r w:rsidR="00EB42A9">
        <w:t xml:space="preserve">ování </w:t>
      </w:r>
      <w:r w:rsidR="00817C6B">
        <w:t xml:space="preserve">- </w:t>
      </w:r>
      <w:r w:rsidR="00EB42A9">
        <w:t>úseky</w:t>
      </w:r>
      <w:proofErr w:type="gramEnd"/>
      <w:r w:rsidR="00EB42A9">
        <w:t xml:space="preserve"> </w:t>
      </w:r>
      <w:bookmarkEnd w:id="34"/>
      <w:proofErr w:type="spellStart"/>
      <w:r w:rsidR="003B387D">
        <w:t>x.xx</w:t>
      </w:r>
      <w:bookmarkEnd w:id="35"/>
      <w:proofErr w:type="spellEnd"/>
    </w:p>
    <w:p w:rsidR="00927FD5" w:rsidRDefault="00EB42A9" w:rsidP="00927FD5">
      <w:pPr>
        <w:pStyle w:val="PD"/>
      </w:pPr>
      <w:r w:rsidRPr="00265A04">
        <w:t>Suroviny budou skladovány v such</w:t>
      </w:r>
      <w:r w:rsidR="00265A04" w:rsidRPr="00265A04">
        <w:t xml:space="preserve">ých skladech, </w:t>
      </w:r>
      <w:r w:rsidRPr="00265A04">
        <w:t>kter</w:t>
      </w:r>
      <w:r w:rsidR="00265A04" w:rsidRPr="00265A04">
        <w:t>é</w:t>
      </w:r>
      <w:r w:rsidRPr="00265A04">
        <w:t xml:space="preserve"> bude vybaven</w:t>
      </w:r>
      <w:r w:rsidR="00265A04" w:rsidRPr="00265A04">
        <w:t>y</w:t>
      </w:r>
      <w:r w:rsidRPr="00265A04">
        <w:t xml:space="preserve"> regálovým systémem, a v</w:t>
      </w:r>
      <w:r w:rsidR="00265A04" w:rsidRPr="00265A04">
        <w:t> chladících a mrazících boxech</w:t>
      </w:r>
      <w:r w:rsidRPr="00265A04">
        <w:t xml:space="preserve">.  </w:t>
      </w:r>
      <w:bookmarkStart w:id="37" w:name="_Toc422406054"/>
      <w:bookmarkStart w:id="38" w:name="_Toc441132770"/>
      <w:bookmarkEnd w:id="36"/>
      <w:r w:rsidR="00265A04" w:rsidRPr="00265A04">
        <w:t>Všechny tyto prostory zůstávají stávající</w:t>
      </w:r>
    </w:p>
    <w:p w:rsidR="00C43059" w:rsidRDefault="00505B73" w:rsidP="005C6707">
      <w:pPr>
        <w:pStyle w:val="PDnadpis2"/>
      </w:pPr>
      <w:bookmarkStart w:id="39" w:name="_Toc422406055"/>
      <w:bookmarkStart w:id="40" w:name="_Toc441132771"/>
      <w:bookmarkStart w:id="41" w:name="_Toc471204083"/>
      <w:bookmarkStart w:id="42" w:name="_Toc475703621"/>
      <w:bookmarkStart w:id="43" w:name="_Toc412029791"/>
      <w:bookmarkEnd w:id="37"/>
      <w:bookmarkEnd w:id="38"/>
      <w:r>
        <w:t xml:space="preserve">Příprava </w:t>
      </w:r>
      <w:proofErr w:type="gramStart"/>
      <w:r>
        <w:t>masa</w:t>
      </w:r>
      <w:bookmarkEnd w:id="39"/>
      <w:bookmarkEnd w:id="40"/>
      <w:r w:rsidR="003B387D">
        <w:t xml:space="preserve"> - úsek</w:t>
      </w:r>
      <w:proofErr w:type="gramEnd"/>
      <w:r w:rsidR="003B387D">
        <w:t xml:space="preserve"> 1</w:t>
      </w:r>
      <w:r w:rsidR="00817C6B">
        <w:t>.xx</w:t>
      </w:r>
      <w:bookmarkEnd w:id="41"/>
      <w:bookmarkEnd w:id="42"/>
    </w:p>
    <w:p w:rsidR="00C43059" w:rsidRPr="00C43059" w:rsidRDefault="003F075F" w:rsidP="005C6707">
      <w:pPr>
        <w:pStyle w:val="PD"/>
      </w:pPr>
      <w:r>
        <w:t>K hrubé přípravě masa slouží stávající samostatný úsek v zázemí kuchyně</w:t>
      </w:r>
      <w:r w:rsidR="00E41B1A">
        <w:t>, ke kuchyňské úpravě bude sloužit úsek přípravy masa</w:t>
      </w:r>
      <w:r w:rsidR="00C43059">
        <w:t>.</w:t>
      </w:r>
      <w:r w:rsidR="003B387D">
        <w:t xml:space="preserve"> Tento úsek se skládá</w:t>
      </w:r>
      <w:r w:rsidR="00817C6B">
        <w:t xml:space="preserve"> </w:t>
      </w:r>
      <w:r w:rsidR="00366570">
        <w:t>ze stolu</w:t>
      </w:r>
      <w:r w:rsidR="00505B73">
        <w:t xml:space="preserve"> se </w:t>
      </w:r>
      <w:r w:rsidR="00366570">
        <w:t>d</w:t>
      </w:r>
      <w:r w:rsidR="00505B73">
        <w:t>řez</w:t>
      </w:r>
      <w:r w:rsidR="00366570">
        <w:t>em</w:t>
      </w:r>
      <w:r w:rsidR="007E6A36">
        <w:t>,</w:t>
      </w:r>
      <w:r w:rsidR="00817C6B">
        <w:t xml:space="preserve"> mlýnku na maso,</w:t>
      </w:r>
      <w:r w:rsidR="007E6A36">
        <w:t xml:space="preserve"> pracovního stolu</w:t>
      </w:r>
      <w:r w:rsidR="00817C6B">
        <w:t xml:space="preserve">, stolní váhy a </w:t>
      </w:r>
      <w:proofErr w:type="spellStart"/>
      <w:r w:rsidR="00817C6B">
        <w:t>masodesky</w:t>
      </w:r>
      <w:proofErr w:type="spellEnd"/>
      <w:r w:rsidR="006731CC">
        <w:t>. Součástí úseku je i kombinovaná výlevka na mytí rukou. Od pracovního stolu je oddělená hygienickou zástěnou z nerezového plechu, který bude navařen na bok stolu.</w:t>
      </w:r>
    </w:p>
    <w:p w:rsidR="00DB3970" w:rsidRDefault="00DB3970" w:rsidP="00DB3970">
      <w:pPr>
        <w:pStyle w:val="PDnadpis2"/>
      </w:pPr>
      <w:bookmarkStart w:id="44" w:name="_Toc471204085"/>
      <w:bookmarkStart w:id="45" w:name="_Toc475703623"/>
      <w:bookmarkStart w:id="46" w:name="_Toc471204084"/>
      <w:bookmarkStart w:id="47" w:name="_Toc475703622"/>
      <w:bookmarkStart w:id="48" w:name="_Toc412029790"/>
      <w:bookmarkStart w:id="49" w:name="_Toc422406057"/>
      <w:bookmarkStart w:id="50" w:name="_Toc441132772"/>
      <w:bookmarkEnd w:id="43"/>
      <w:r>
        <w:t xml:space="preserve">Příprava </w:t>
      </w:r>
      <w:proofErr w:type="gramStart"/>
      <w:r>
        <w:t>těsta - úsek</w:t>
      </w:r>
      <w:proofErr w:type="gramEnd"/>
      <w:r>
        <w:t xml:space="preserve"> 2.xx</w:t>
      </w:r>
      <w:bookmarkEnd w:id="44"/>
      <w:bookmarkEnd w:id="45"/>
    </w:p>
    <w:p w:rsidR="00DB3970" w:rsidRPr="00817C6B" w:rsidRDefault="00DB3970" w:rsidP="00DB3970">
      <w:pPr>
        <w:pStyle w:val="PD"/>
        <w:rPr>
          <w:lang w:eastAsia="cs-CZ"/>
        </w:rPr>
      </w:pPr>
      <w:r>
        <w:rPr>
          <w:lang w:eastAsia="cs-CZ"/>
        </w:rPr>
        <w:t>Tento úsek je součást samotné kuchyně a skládá se z pracovního stolu se dřezem a širokým zásuvkovým blokem, koše na odpadky a univerzálního robota.</w:t>
      </w:r>
    </w:p>
    <w:p w:rsidR="00DB3970" w:rsidRPr="007438E5" w:rsidRDefault="00DB3970" w:rsidP="00DB3970">
      <w:pPr>
        <w:pStyle w:val="PDnadpis2"/>
      </w:pPr>
      <w:bookmarkStart w:id="51" w:name="_Toc471204082"/>
      <w:bookmarkStart w:id="52" w:name="_Toc475703620"/>
      <w:r>
        <w:t>Příprava zeleniny</w:t>
      </w:r>
      <w:r w:rsidRPr="00817C6B">
        <w:t xml:space="preserve"> </w:t>
      </w:r>
      <w:r>
        <w:t>– úsek 3.xx</w:t>
      </w:r>
      <w:bookmarkEnd w:id="51"/>
      <w:bookmarkEnd w:id="52"/>
    </w:p>
    <w:p w:rsidR="00DB3970" w:rsidRDefault="00DB3970" w:rsidP="00DB3970">
      <w:pPr>
        <w:pStyle w:val="PD"/>
      </w:pPr>
      <w:r>
        <w:t>Hrubá příprava zeleniny bude probíhat v samostatné místnosti která navazuje na sklad zeleniny. Tento úsek zůstane stávající.</w:t>
      </w:r>
    </w:p>
    <w:p w:rsidR="00DB3970" w:rsidRPr="00DB3970" w:rsidRDefault="00DB3970" w:rsidP="00DB3970">
      <w:pPr>
        <w:pStyle w:val="PD"/>
        <w:rPr>
          <w:lang w:eastAsia="cs-CZ"/>
        </w:rPr>
      </w:pPr>
      <w:r>
        <w:t xml:space="preserve">Čistá příprava zeleniny je umístěna v krajní části prostoru kuchyně a skládá se ze stolu se dřezem a odpadkovým košem a pracovního stolu. K tomuto úseku je </w:t>
      </w:r>
      <w:r w:rsidR="006731CC">
        <w:t xml:space="preserve">také </w:t>
      </w:r>
      <w:r>
        <w:t>přiřazen</w:t>
      </w:r>
      <w:r w:rsidR="006731CC">
        <w:t xml:space="preserve"> druhý univerzální robot</w:t>
      </w:r>
      <w:r>
        <w:t>.</w:t>
      </w:r>
    </w:p>
    <w:p w:rsidR="00817C6B" w:rsidRDefault="003B387D" w:rsidP="005C6707">
      <w:pPr>
        <w:pStyle w:val="PDnadpis2"/>
      </w:pPr>
      <w:r>
        <w:t xml:space="preserve">Studená </w:t>
      </w:r>
      <w:proofErr w:type="gramStart"/>
      <w:r>
        <w:t>kuchyně - úsek</w:t>
      </w:r>
      <w:proofErr w:type="gramEnd"/>
      <w:r>
        <w:t xml:space="preserve"> 4</w:t>
      </w:r>
      <w:r w:rsidR="00817C6B">
        <w:t>.xx</w:t>
      </w:r>
      <w:bookmarkEnd w:id="46"/>
      <w:bookmarkEnd w:id="47"/>
    </w:p>
    <w:p w:rsidR="00817C6B" w:rsidRDefault="00817C6B" w:rsidP="00817C6B">
      <w:pPr>
        <w:pStyle w:val="PD"/>
        <w:rPr>
          <w:lang w:eastAsia="cs-CZ"/>
        </w:rPr>
      </w:pPr>
      <w:r>
        <w:rPr>
          <w:lang w:eastAsia="cs-CZ"/>
        </w:rPr>
        <w:t xml:space="preserve">Tento úsek je součást samotné kuchyně a skládá se z pracovních stolů, </w:t>
      </w:r>
      <w:r w:rsidR="001A5466">
        <w:rPr>
          <w:lang w:eastAsia="cs-CZ"/>
        </w:rPr>
        <w:t>dřezu, nářezového stroje a doplněn je o krouhač zeleniny</w:t>
      </w:r>
      <w:r>
        <w:rPr>
          <w:lang w:eastAsia="cs-CZ"/>
        </w:rPr>
        <w:t>.</w:t>
      </w:r>
    </w:p>
    <w:p w:rsidR="00E41B1A" w:rsidRDefault="004F4BC9" w:rsidP="005C6707">
      <w:pPr>
        <w:pStyle w:val="PDnadpis2"/>
      </w:pPr>
      <w:bookmarkStart w:id="53" w:name="_Toc471204086"/>
      <w:bookmarkStart w:id="54" w:name="_Toc475703624"/>
      <w:bookmarkEnd w:id="48"/>
      <w:bookmarkEnd w:id="49"/>
      <w:bookmarkEnd w:id="50"/>
      <w:r>
        <w:t>Varna – úsek 7</w:t>
      </w:r>
      <w:r w:rsidR="00A8624D">
        <w:t>.xx</w:t>
      </w:r>
      <w:bookmarkEnd w:id="53"/>
      <w:bookmarkEnd w:id="54"/>
    </w:p>
    <w:p w:rsidR="00522A93" w:rsidRDefault="00E41B1A" w:rsidP="00DB3970">
      <w:pPr>
        <w:pStyle w:val="PD"/>
      </w:pPr>
      <w:r>
        <w:t xml:space="preserve">Pro přípravu pokrmů bude sloužit </w:t>
      </w:r>
      <w:r w:rsidR="00366570">
        <w:t>varný blok uprostřed kuchyně. Jeho součástí je</w:t>
      </w:r>
      <w:r w:rsidR="00A97734">
        <w:t xml:space="preserve"> samostatný </w:t>
      </w:r>
      <w:r w:rsidR="00BB7CE3">
        <w:t xml:space="preserve">blok tvořený </w:t>
      </w:r>
      <w:r w:rsidR="00DB3970">
        <w:t>2</w:t>
      </w:r>
      <w:r w:rsidR="00BB7CE3">
        <w:t xml:space="preserve"> </w:t>
      </w:r>
      <w:r w:rsidR="00DB3970">
        <w:t>plynovými</w:t>
      </w:r>
      <w:r w:rsidR="00BB7CE3">
        <w:t xml:space="preserve"> </w:t>
      </w:r>
      <w:r w:rsidR="001A5466">
        <w:t>sporáky</w:t>
      </w:r>
      <w:r w:rsidR="00A8624D">
        <w:t xml:space="preserve">, dvěma </w:t>
      </w:r>
      <w:r w:rsidR="00DB3970">
        <w:t>míchacími elektrickými kotli a multifunkční pánví</w:t>
      </w:r>
      <w:r w:rsidR="00A8624D">
        <w:t>.</w:t>
      </w:r>
      <w:r w:rsidR="00DB3970">
        <w:t xml:space="preserve"> Dále je zde samostatný </w:t>
      </w:r>
      <w:proofErr w:type="gramStart"/>
      <w:r w:rsidR="00DB3970">
        <w:t>blok</w:t>
      </w:r>
      <w:proofErr w:type="gramEnd"/>
      <w:r w:rsidR="00A77C28">
        <w:t xml:space="preserve"> kde jsou umístěny dva konvektomaty a další multifukční pánev.</w:t>
      </w:r>
      <w:r w:rsidR="004F4BC9">
        <w:t xml:space="preserve"> </w:t>
      </w:r>
      <w:r w:rsidR="00A77C28">
        <w:t>Třetí</w:t>
      </w:r>
      <w:r w:rsidR="004F4BC9">
        <w:t xml:space="preserve"> blok tvoří </w:t>
      </w:r>
      <w:r w:rsidR="00A77C28">
        <w:t>2</w:t>
      </w:r>
      <w:r w:rsidR="004F4BC9">
        <w:t xml:space="preserve"> elektrické kotle a </w:t>
      </w:r>
      <w:r w:rsidR="00A77C28">
        <w:t>sklopná</w:t>
      </w:r>
      <w:r w:rsidR="004F4BC9">
        <w:t xml:space="preserve"> pánev. </w:t>
      </w:r>
      <w:r w:rsidR="005C6707">
        <w:t>N</w:t>
      </w:r>
      <w:r w:rsidR="00522A93" w:rsidRPr="00F97D15">
        <w:t xml:space="preserve">ad </w:t>
      </w:r>
      <w:r w:rsidR="004F4BC9">
        <w:t xml:space="preserve">všemi </w:t>
      </w:r>
      <w:r w:rsidR="00A8624D">
        <w:t>varnými bloky jsou</w:t>
      </w:r>
      <w:r w:rsidR="00366570">
        <w:t xml:space="preserve"> umístěn</w:t>
      </w:r>
      <w:r w:rsidR="00A8624D">
        <w:t>y</w:t>
      </w:r>
      <w:r w:rsidR="005C6707">
        <w:t xml:space="preserve"> digestoř</w:t>
      </w:r>
      <w:r w:rsidR="00A8624D">
        <w:t>e</w:t>
      </w:r>
      <w:r w:rsidR="005C6707">
        <w:t xml:space="preserve"> </w:t>
      </w:r>
      <w:r w:rsidR="004F4BC9">
        <w:t>s</w:t>
      </w:r>
      <w:r w:rsidR="00522A93" w:rsidRPr="00F97D15">
        <w:t xml:space="preserve"> tukovými filtry</w:t>
      </w:r>
      <w:r w:rsidR="004F4BC9">
        <w:t>, nad sporáky a kotli doplněné o osvětlení.</w:t>
      </w:r>
      <w:r w:rsidR="00522A93">
        <w:t xml:space="preserve"> </w:t>
      </w:r>
      <w:r w:rsidR="00522A93" w:rsidRPr="00F97D15">
        <w:t>Digesto</w:t>
      </w:r>
      <w:r w:rsidR="00522A93">
        <w:t>ře jsou napojeny na VZT potrubí.</w:t>
      </w:r>
    </w:p>
    <w:p w:rsidR="00A8624D" w:rsidRDefault="00874BAB" w:rsidP="005C6707">
      <w:pPr>
        <w:pStyle w:val="PDnadpis2"/>
      </w:pPr>
      <w:bookmarkStart w:id="55" w:name="_Toc471204087"/>
      <w:bookmarkStart w:id="56" w:name="_Toc475703625"/>
      <w:bookmarkStart w:id="57" w:name="_Toc412029792"/>
      <w:bookmarkStart w:id="58" w:name="_Toc422406058"/>
      <w:bookmarkStart w:id="59" w:name="_Toc441132773"/>
      <w:r>
        <w:t xml:space="preserve">Kompletace </w:t>
      </w:r>
      <w:r w:rsidR="004F4BC9">
        <w:t>– úsek 6</w:t>
      </w:r>
      <w:r w:rsidR="00A8624D">
        <w:t>.xx</w:t>
      </w:r>
      <w:bookmarkEnd w:id="55"/>
      <w:bookmarkEnd w:id="56"/>
    </w:p>
    <w:p w:rsidR="00A8624D" w:rsidRDefault="00A8624D" w:rsidP="00A8624D">
      <w:pPr>
        <w:pStyle w:val="PD"/>
      </w:pPr>
      <w:r>
        <w:rPr>
          <w:lang w:eastAsia="cs-CZ"/>
        </w:rPr>
        <w:t>Tento ús</w:t>
      </w:r>
      <w:r w:rsidR="004F4BC9">
        <w:rPr>
          <w:lang w:eastAsia="cs-CZ"/>
        </w:rPr>
        <w:t>ek se skládá z pracovních stolů se vsuny na GN 1/1 a zásuvkami.</w:t>
      </w:r>
      <w:r>
        <w:t xml:space="preserve"> </w:t>
      </w:r>
    </w:p>
    <w:p w:rsidR="00A77C28" w:rsidRDefault="00A77C28" w:rsidP="00A77C28">
      <w:pPr>
        <w:pStyle w:val="PDnadpis2"/>
        <w:numPr>
          <w:ilvl w:val="0"/>
          <w:numId w:val="0"/>
        </w:numPr>
        <w:ind w:left="1134"/>
      </w:pPr>
      <w:bookmarkStart w:id="60" w:name="_Toc471204088"/>
      <w:bookmarkStart w:id="61" w:name="_Toc475703626"/>
    </w:p>
    <w:p w:rsidR="003C3AF1" w:rsidRDefault="003C3AF1" w:rsidP="003C3AF1">
      <w:pPr>
        <w:pStyle w:val="PDnadpis2"/>
      </w:pPr>
      <w:r>
        <w:lastRenderedPageBreak/>
        <w:t>Výdej</w:t>
      </w:r>
      <w:r w:rsidR="004F4BC9">
        <w:t xml:space="preserve"> – úsek 8</w:t>
      </w:r>
      <w:r>
        <w:t>.xx</w:t>
      </w:r>
      <w:bookmarkEnd w:id="60"/>
      <w:bookmarkEnd w:id="61"/>
    </w:p>
    <w:p w:rsidR="003C3AF1" w:rsidRDefault="003C3AF1" w:rsidP="003C3AF1">
      <w:pPr>
        <w:pStyle w:val="PD"/>
        <w:rPr>
          <w:lang w:eastAsia="cs-CZ"/>
        </w:rPr>
      </w:pPr>
      <w:r>
        <w:rPr>
          <w:lang w:eastAsia="cs-CZ"/>
        </w:rPr>
        <w:t>Úsek výdeje</w:t>
      </w:r>
      <w:r w:rsidR="003F075F">
        <w:rPr>
          <w:lang w:eastAsia="cs-CZ"/>
        </w:rPr>
        <w:t xml:space="preserve"> je stvořen stávajícím zařízením. S</w:t>
      </w:r>
      <w:r>
        <w:rPr>
          <w:lang w:eastAsia="cs-CZ"/>
        </w:rPr>
        <w:t>kládá z výdejního pultu s nerezovou pojezdovou dráhou, ve kterém je umíst</w:t>
      </w:r>
      <w:r w:rsidR="004F4BC9">
        <w:rPr>
          <w:lang w:eastAsia="cs-CZ"/>
        </w:rPr>
        <w:t>ěna výdejní vana s ohřevem pro 4</w:t>
      </w:r>
      <w:r>
        <w:rPr>
          <w:lang w:eastAsia="cs-CZ"/>
        </w:rPr>
        <w:t>GN 1/1 a samoobslužná vitrína. Dále jsou zde umístěny ohřevné zásobníky na ta</w:t>
      </w:r>
      <w:r w:rsidR="00874BAB">
        <w:rPr>
          <w:lang w:eastAsia="cs-CZ"/>
        </w:rPr>
        <w:t>l</w:t>
      </w:r>
      <w:r>
        <w:rPr>
          <w:lang w:eastAsia="cs-CZ"/>
        </w:rPr>
        <w:t xml:space="preserve">íře. V jídelně je umístěn </w:t>
      </w:r>
      <w:r w:rsidR="00874BAB">
        <w:rPr>
          <w:lang w:eastAsia="cs-CZ"/>
        </w:rPr>
        <w:t>zásobník na příbory.</w:t>
      </w:r>
      <w:r>
        <w:rPr>
          <w:lang w:eastAsia="cs-CZ"/>
        </w:rPr>
        <w:t xml:space="preserve"> </w:t>
      </w:r>
    </w:p>
    <w:p w:rsidR="00927FD5" w:rsidRDefault="00874BAB" w:rsidP="00927FD5">
      <w:pPr>
        <w:pStyle w:val="PDnadpis2"/>
      </w:pPr>
      <w:bookmarkStart w:id="62" w:name="_Toc471204090"/>
      <w:bookmarkStart w:id="63" w:name="_Toc475703627"/>
      <w:r>
        <w:t xml:space="preserve">Sklad vozíků – úsek </w:t>
      </w:r>
      <w:r w:rsidR="00927FD5">
        <w:t>5.xx</w:t>
      </w:r>
      <w:bookmarkEnd w:id="62"/>
      <w:bookmarkEnd w:id="63"/>
    </w:p>
    <w:p w:rsidR="00927FD5" w:rsidRDefault="00927FD5" w:rsidP="00927FD5">
      <w:pPr>
        <w:pStyle w:val="PD"/>
        <w:rPr>
          <w:lang w:eastAsia="cs-CZ"/>
        </w:rPr>
      </w:pPr>
      <w:r>
        <w:rPr>
          <w:lang w:eastAsia="cs-CZ"/>
        </w:rPr>
        <w:t>V tomto úseku je</w:t>
      </w:r>
      <w:r w:rsidR="00874BAB">
        <w:rPr>
          <w:lang w:eastAsia="cs-CZ"/>
        </w:rPr>
        <w:t xml:space="preserve"> vyhrazen prostor pro skladován</w:t>
      </w:r>
      <w:r w:rsidR="003F075F">
        <w:rPr>
          <w:lang w:eastAsia="cs-CZ"/>
        </w:rPr>
        <w:t>í</w:t>
      </w:r>
      <w:r w:rsidR="00874BAB">
        <w:rPr>
          <w:lang w:eastAsia="cs-CZ"/>
        </w:rPr>
        <w:t xml:space="preserve"> čistých </w:t>
      </w:r>
      <w:proofErr w:type="spellStart"/>
      <w:r w:rsidR="00874BAB">
        <w:rPr>
          <w:lang w:eastAsia="cs-CZ"/>
        </w:rPr>
        <w:t>tabletů</w:t>
      </w:r>
      <w:proofErr w:type="spellEnd"/>
      <w:r w:rsidR="00874BAB">
        <w:rPr>
          <w:lang w:eastAsia="cs-CZ"/>
        </w:rPr>
        <w:t>, odstavení pojízdných lázní na GN a ohřevné zásobníky na talíře.</w:t>
      </w:r>
    </w:p>
    <w:p w:rsidR="009725DF" w:rsidRPr="00F97D15" w:rsidRDefault="00415399" w:rsidP="003C3AF1">
      <w:pPr>
        <w:pStyle w:val="PDnadpis2"/>
      </w:pPr>
      <w:bookmarkStart w:id="64" w:name="_Toc471204091"/>
      <w:bookmarkStart w:id="65" w:name="_Toc475703628"/>
      <w:r>
        <w:t>Mytí</w:t>
      </w:r>
      <w:r w:rsidR="009725DF" w:rsidRPr="00F97D15">
        <w:t xml:space="preserve"> </w:t>
      </w:r>
      <w:r w:rsidR="00927FD5">
        <w:t xml:space="preserve">bílého nádobí </w:t>
      </w:r>
      <w:bookmarkEnd w:id="57"/>
      <w:bookmarkEnd w:id="58"/>
      <w:bookmarkEnd w:id="59"/>
      <w:r w:rsidR="00874BAB">
        <w:t>– úsek 9</w:t>
      </w:r>
      <w:r w:rsidR="00927FD5">
        <w:t>.xx</w:t>
      </w:r>
      <w:bookmarkEnd w:id="64"/>
      <w:bookmarkEnd w:id="65"/>
    </w:p>
    <w:p w:rsidR="009725DF" w:rsidRDefault="00415399" w:rsidP="00927FD5">
      <w:pPr>
        <w:pStyle w:val="PD"/>
      </w:pPr>
      <w:r>
        <w:t>Mytí</w:t>
      </w:r>
      <w:r w:rsidR="009725DF" w:rsidRPr="00F97D15">
        <w:t xml:space="preserve"> </w:t>
      </w:r>
      <w:r w:rsidR="00366570">
        <w:t xml:space="preserve">bílého nádobí </w:t>
      </w:r>
      <w:r w:rsidR="00927FD5">
        <w:t xml:space="preserve">a mytí </w:t>
      </w:r>
      <w:proofErr w:type="spellStart"/>
      <w:r w:rsidR="00927FD5">
        <w:t>tabletů</w:t>
      </w:r>
      <w:proofErr w:type="spellEnd"/>
      <w:r w:rsidR="00927FD5">
        <w:t xml:space="preserve"> </w:t>
      </w:r>
      <w:r w:rsidR="00366570">
        <w:t xml:space="preserve">je umístěno v samostatném úseku </w:t>
      </w:r>
      <w:r w:rsidR="007E6A36">
        <w:t xml:space="preserve">stavebně odděleném od kuchyně </w:t>
      </w:r>
      <w:r w:rsidR="00366570">
        <w:t>a skládá se ze vst</w:t>
      </w:r>
      <w:r w:rsidR="00927FD5">
        <w:t>upního stolu k myč</w:t>
      </w:r>
      <w:r w:rsidR="00874BAB">
        <w:t>ce se dřezem s tlakovou sprchou</w:t>
      </w:r>
      <w:r w:rsidR="00927FD5">
        <w:t xml:space="preserve"> košem na odpadky</w:t>
      </w:r>
      <w:r w:rsidR="00874BAB">
        <w:t xml:space="preserve"> a doplněn je </w:t>
      </w:r>
      <w:proofErr w:type="spellStart"/>
      <w:r w:rsidR="00874BAB">
        <w:t>podstolovou</w:t>
      </w:r>
      <w:proofErr w:type="spellEnd"/>
      <w:r w:rsidR="00874BAB">
        <w:t xml:space="preserve"> myčkou.</w:t>
      </w:r>
      <w:r w:rsidR="00927FD5">
        <w:t xml:space="preserve"> </w:t>
      </w:r>
      <w:proofErr w:type="gramStart"/>
      <w:r w:rsidR="00874BAB">
        <w:t>D</w:t>
      </w:r>
      <w:r w:rsidR="00366570">
        <w:t xml:space="preserve">ále </w:t>
      </w:r>
      <w:r w:rsidR="00A77C28">
        <w:t xml:space="preserve"> je</w:t>
      </w:r>
      <w:proofErr w:type="gramEnd"/>
      <w:r w:rsidR="00A77C28">
        <w:t xml:space="preserve"> zde umístěna tunelová myčka se sušící</w:t>
      </w:r>
      <w:r w:rsidR="006731CC">
        <w:t xml:space="preserve"> zónou. </w:t>
      </w:r>
      <w:r w:rsidR="00A77C28">
        <w:t xml:space="preserve">Myčka a sušící zóna je napojena </w:t>
      </w:r>
      <w:r w:rsidR="006E1E4D">
        <w:t>na VZT potrubí.</w:t>
      </w:r>
      <w:r w:rsidR="00927FD5">
        <w:t xml:space="preserve"> </w:t>
      </w:r>
      <w:r w:rsidR="00927FD5">
        <w:rPr>
          <w:lang w:eastAsia="cs-CZ"/>
        </w:rPr>
        <w:t xml:space="preserve">Součástí úseku </w:t>
      </w:r>
      <w:r w:rsidR="00927FD5">
        <w:t>je hygienické umyvadlo s </w:t>
      </w:r>
      <w:proofErr w:type="spellStart"/>
      <w:r w:rsidR="00927FD5">
        <w:t>kolením</w:t>
      </w:r>
      <w:proofErr w:type="spellEnd"/>
      <w:r w:rsidR="00927FD5">
        <w:t xml:space="preserve"> ovládáním.</w:t>
      </w:r>
    </w:p>
    <w:p w:rsidR="00927FD5" w:rsidRPr="00F97D15" w:rsidRDefault="00927FD5" w:rsidP="00927FD5">
      <w:pPr>
        <w:pStyle w:val="PDnadpis2"/>
      </w:pPr>
      <w:bookmarkStart w:id="66" w:name="_Toc471204092"/>
      <w:bookmarkStart w:id="67" w:name="_Toc475703629"/>
      <w:r>
        <w:t>Mytí</w:t>
      </w:r>
      <w:r w:rsidRPr="00F97D15">
        <w:t xml:space="preserve"> </w:t>
      </w:r>
      <w:r>
        <w:t>černého nádobí – úsek 1</w:t>
      </w:r>
      <w:r w:rsidR="00A77C28">
        <w:t>0</w:t>
      </w:r>
      <w:r>
        <w:t>.xx</w:t>
      </w:r>
      <w:bookmarkEnd w:id="66"/>
      <w:bookmarkEnd w:id="67"/>
    </w:p>
    <w:p w:rsidR="006E1E4D" w:rsidRDefault="006E1E4D" w:rsidP="005C6707">
      <w:pPr>
        <w:pStyle w:val="PD"/>
      </w:pPr>
      <w:r>
        <w:t>Úsek mytí černého nádobí</w:t>
      </w:r>
      <w:r w:rsidR="00874BAB">
        <w:t xml:space="preserve"> </w:t>
      </w:r>
      <w:r w:rsidR="007E6A36">
        <w:t xml:space="preserve">je umístěn v samostatném úseku stavebně odděleném od kuchyně a </w:t>
      </w:r>
      <w:r w:rsidR="00874BAB">
        <w:t>skládá se z pracovního stolu,</w:t>
      </w:r>
      <w:r w:rsidR="00927FD5">
        <w:t xml:space="preserve"> </w:t>
      </w:r>
      <w:r w:rsidR="007E6A36">
        <w:t>dvoj</w:t>
      </w:r>
      <w:r>
        <w:t>dřez</w:t>
      </w:r>
      <w:r w:rsidR="00927FD5">
        <w:t>u</w:t>
      </w:r>
      <w:r>
        <w:t xml:space="preserve"> </w:t>
      </w:r>
      <w:r w:rsidR="00927FD5">
        <w:t>s</w:t>
      </w:r>
      <w:r w:rsidR="00874BAB">
        <w:t xml:space="preserve"> tlakovou sprchou a</w:t>
      </w:r>
      <w:r>
        <w:t xml:space="preserve"> </w:t>
      </w:r>
      <w:r w:rsidR="00782AA6">
        <w:t>granulové myčky na černé nádobí</w:t>
      </w:r>
      <w:r w:rsidR="00874BAB">
        <w:t>.</w:t>
      </w:r>
      <w:r w:rsidR="00782AA6">
        <w:t xml:space="preserve"> </w:t>
      </w:r>
    </w:p>
    <w:p w:rsidR="006731CC" w:rsidRDefault="006731CC" w:rsidP="005C6707">
      <w:pPr>
        <w:pStyle w:val="PD"/>
        <w:rPr>
          <w:lang w:eastAsia="cs-CZ"/>
        </w:rPr>
      </w:pPr>
      <w:r>
        <w:rPr>
          <w:lang w:eastAsia="cs-CZ"/>
        </w:rPr>
        <w:t xml:space="preserve">Mytí </w:t>
      </w:r>
      <w:proofErr w:type="spellStart"/>
      <w:r>
        <w:rPr>
          <w:lang w:eastAsia="cs-CZ"/>
        </w:rPr>
        <w:t>termoportů</w:t>
      </w:r>
      <w:proofErr w:type="spellEnd"/>
      <w:r>
        <w:rPr>
          <w:lang w:eastAsia="cs-CZ"/>
        </w:rPr>
        <w:t xml:space="preserve"> zůstává stávající </w:t>
      </w:r>
      <w:proofErr w:type="gramStart"/>
      <w:r>
        <w:rPr>
          <w:lang w:eastAsia="cs-CZ"/>
        </w:rPr>
        <w:t>a  probíhá</w:t>
      </w:r>
      <w:proofErr w:type="gramEnd"/>
      <w:r>
        <w:rPr>
          <w:lang w:eastAsia="cs-CZ"/>
        </w:rPr>
        <w:t xml:space="preserve"> v zařízeních, kam jsou jídla dovážena a zpět se vrací </w:t>
      </w:r>
      <w:proofErr w:type="spellStart"/>
      <w:r>
        <w:rPr>
          <w:lang w:eastAsia="cs-CZ"/>
        </w:rPr>
        <w:t>termoporty</w:t>
      </w:r>
      <w:proofErr w:type="spellEnd"/>
      <w:r>
        <w:rPr>
          <w:lang w:eastAsia="cs-CZ"/>
        </w:rPr>
        <w:t xml:space="preserve"> již umyté. Čisté </w:t>
      </w:r>
      <w:proofErr w:type="spellStart"/>
      <w:r>
        <w:rPr>
          <w:lang w:eastAsia="cs-CZ"/>
        </w:rPr>
        <w:t>termoporty</w:t>
      </w:r>
      <w:proofErr w:type="spellEnd"/>
      <w:r>
        <w:rPr>
          <w:lang w:eastAsia="cs-CZ"/>
        </w:rPr>
        <w:t xml:space="preserve"> jsou </w:t>
      </w:r>
      <w:proofErr w:type="spellStart"/>
      <w:r>
        <w:rPr>
          <w:lang w:eastAsia="cs-CZ"/>
        </w:rPr>
        <w:t>skladováný</w:t>
      </w:r>
      <w:proofErr w:type="spellEnd"/>
      <w:r>
        <w:rPr>
          <w:lang w:eastAsia="cs-CZ"/>
        </w:rPr>
        <w:t xml:space="preserve"> ve stávající vyhrazené místnosti v zázemí.</w:t>
      </w:r>
      <w:bookmarkStart w:id="68" w:name="_GoBack"/>
      <w:bookmarkEnd w:id="68"/>
      <w:r>
        <w:rPr>
          <w:lang w:eastAsia="cs-CZ"/>
        </w:rPr>
        <w:t xml:space="preserve"> </w:t>
      </w:r>
    </w:p>
    <w:p w:rsidR="006E1E4D" w:rsidRPr="003F075F" w:rsidRDefault="00782AA6" w:rsidP="00D123C4">
      <w:pPr>
        <w:pStyle w:val="PDnadpis2"/>
      </w:pPr>
      <w:bookmarkStart w:id="69" w:name="_Toc471204094"/>
      <w:bookmarkStart w:id="70" w:name="_Toc475703630"/>
      <w:bookmarkStart w:id="71" w:name="_Toc422406059"/>
      <w:bookmarkStart w:id="72" w:name="_Toc412029793"/>
      <w:r w:rsidRPr="003F075F">
        <w:t xml:space="preserve">Sklad odpadků a obalů </w:t>
      </w:r>
      <w:bookmarkEnd w:id="69"/>
      <w:bookmarkEnd w:id="70"/>
    </w:p>
    <w:p w:rsidR="006E1E4D" w:rsidRPr="006E1E4D" w:rsidRDefault="003F075F" w:rsidP="006E1E4D">
      <w:pPr>
        <w:pStyle w:val="PD"/>
        <w:rPr>
          <w:lang w:eastAsia="cs-CZ"/>
        </w:rPr>
      </w:pPr>
      <w:r w:rsidRPr="003F075F">
        <w:rPr>
          <w:lang w:eastAsia="cs-CZ"/>
        </w:rPr>
        <w:t xml:space="preserve">Tyto úseky zůstanou stávající. </w:t>
      </w:r>
      <w:r w:rsidR="00782AA6" w:rsidRPr="003F075F">
        <w:rPr>
          <w:lang w:eastAsia="cs-CZ"/>
        </w:rPr>
        <w:t>Odpadky budou skladovány ve vyhrazené</w:t>
      </w:r>
      <w:r w:rsidRPr="003F075F">
        <w:rPr>
          <w:lang w:eastAsia="cs-CZ"/>
        </w:rPr>
        <w:t>m chladícím boxu. Ten navazuje na s</w:t>
      </w:r>
      <w:r w:rsidR="00782AA6" w:rsidRPr="003F075F">
        <w:rPr>
          <w:lang w:eastAsia="cs-CZ"/>
        </w:rPr>
        <w:t>klad obalů.</w:t>
      </w:r>
      <w:r w:rsidRPr="003F075F">
        <w:rPr>
          <w:lang w:eastAsia="cs-CZ"/>
        </w:rPr>
        <w:t xml:space="preserve"> Tyto úseky jsou přístupné přímo z venkovního prostoru.</w:t>
      </w:r>
      <w:r>
        <w:rPr>
          <w:lang w:eastAsia="cs-CZ"/>
        </w:rPr>
        <w:t xml:space="preserve"> </w:t>
      </w:r>
    </w:p>
    <w:p w:rsidR="00D123C4" w:rsidRPr="003F075F" w:rsidRDefault="00782AA6" w:rsidP="00D123C4">
      <w:pPr>
        <w:pStyle w:val="PDnadpis2"/>
      </w:pPr>
      <w:bookmarkStart w:id="73" w:name="_Toc471204095"/>
      <w:bookmarkStart w:id="74" w:name="_Toc475703631"/>
      <w:bookmarkEnd w:id="71"/>
      <w:r w:rsidRPr="003F075F">
        <w:t>Úklid</w:t>
      </w:r>
      <w:bookmarkEnd w:id="73"/>
      <w:bookmarkEnd w:id="74"/>
    </w:p>
    <w:p w:rsidR="006E1E4D" w:rsidRDefault="00782AA6" w:rsidP="006E1E4D">
      <w:pPr>
        <w:pStyle w:val="PD"/>
        <w:rPr>
          <w:lang w:eastAsia="cs-CZ"/>
        </w:rPr>
      </w:pPr>
      <w:r w:rsidRPr="003F075F">
        <w:rPr>
          <w:lang w:eastAsia="cs-CZ"/>
        </w:rPr>
        <w:t xml:space="preserve">Pro kuchyni je vyhrazena </w:t>
      </w:r>
      <w:r w:rsidR="003F075F" w:rsidRPr="003F075F">
        <w:rPr>
          <w:lang w:eastAsia="cs-CZ"/>
        </w:rPr>
        <w:t xml:space="preserve">stávající </w:t>
      </w:r>
      <w:r w:rsidRPr="003F075F">
        <w:rPr>
          <w:lang w:eastAsia="cs-CZ"/>
        </w:rPr>
        <w:t xml:space="preserve">úklidová místnost </w:t>
      </w:r>
      <w:r w:rsidR="003F075F" w:rsidRPr="003F075F">
        <w:rPr>
          <w:lang w:eastAsia="cs-CZ"/>
        </w:rPr>
        <w:t>v zázemí kuchyně.</w:t>
      </w:r>
    </w:p>
    <w:p w:rsidR="009725DF" w:rsidRPr="00F97D15" w:rsidRDefault="009725DF" w:rsidP="00522A93">
      <w:pPr>
        <w:pStyle w:val="PDnadpis1"/>
        <w:jc w:val="both"/>
      </w:pPr>
      <w:bookmarkStart w:id="75" w:name="_Toc422406060"/>
      <w:bookmarkStart w:id="76" w:name="_Toc441132776"/>
      <w:bookmarkStart w:id="77" w:name="_Toc471204096"/>
      <w:bookmarkStart w:id="78" w:name="_Toc475703632"/>
      <w:r w:rsidRPr="00F97D15">
        <w:t>Požadavky na profese</w:t>
      </w:r>
      <w:bookmarkEnd w:id="72"/>
      <w:bookmarkEnd w:id="75"/>
      <w:bookmarkEnd w:id="76"/>
      <w:bookmarkEnd w:id="77"/>
      <w:bookmarkEnd w:id="78"/>
    </w:p>
    <w:p w:rsidR="009725DF" w:rsidRPr="002123DB" w:rsidRDefault="009725DF" w:rsidP="005C6707">
      <w:pPr>
        <w:pStyle w:val="PD"/>
      </w:pPr>
      <w:r w:rsidRPr="002123DB">
        <w:t>Veškerá technologická zařízení jsou zakreslena do půdorysu, odkud lze vyčíst celý výše popsaný provoz. Ve výkresové dokumentaci lze vyčíst média a druh a požadavky instalačních přípojek. Všechny rozměry platí od čistých omítek a obkladů.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 xml:space="preserve">Obklad stěn (vlhké provozy) ve všech výrobních prostorech budou do výšky min. </w:t>
      </w:r>
      <w:proofErr w:type="gramStart"/>
      <w:r w:rsidRPr="002123DB">
        <w:t>2000mm</w:t>
      </w:r>
      <w:proofErr w:type="gramEnd"/>
      <w:r w:rsidRPr="002123DB">
        <w:t>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 xml:space="preserve">Podlahy omyvatelné, </w:t>
      </w:r>
      <w:proofErr w:type="spellStart"/>
      <w:r w:rsidRPr="002123DB">
        <w:t>neskluzné</w:t>
      </w:r>
      <w:proofErr w:type="spellEnd"/>
      <w:r w:rsidRPr="002123DB">
        <w:t xml:space="preserve"> třída skluznosti min R11.</w:t>
      </w:r>
    </w:p>
    <w:p w:rsidR="00F97D15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>Podlahy v místech s vlhkým provozem budou vodotěsné</w:t>
      </w:r>
      <w:r w:rsidR="00F97D15">
        <w:t>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lastRenderedPageBreak/>
        <w:t>Použitý stavební materiál nesmí negativně ovlivňovat poživatiny a prostředí.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>Vstup do skladovacích prostorů nutné řešit jako bezbariérové s ohledem na rozměr instalované technologie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 xml:space="preserve">Elektrická zařízení se připojují na normalizovanou proudovou soustavu, ochrana a pospojování dle ČSN, vč. Osvětlení. Elektrické vývody přes elektrické předřazené vypínače na zdi. Prostředí dle ČSN, Volné konce elektrických vývodů maximálně </w:t>
      </w:r>
      <w:proofErr w:type="gramStart"/>
      <w:r w:rsidRPr="002123DB">
        <w:t>2000mm</w:t>
      </w:r>
      <w:proofErr w:type="gramEnd"/>
      <w:r w:rsidRPr="002123DB">
        <w:t>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>Osvětlení pracovních míst bílé s</w:t>
      </w:r>
      <w:r w:rsidR="00415399">
        <w:t> </w:t>
      </w:r>
      <w:r w:rsidRPr="002123DB">
        <w:t>intenzitou</w:t>
      </w:r>
      <w:r w:rsidR="00415399">
        <w:t xml:space="preserve"> min</w:t>
      </w:r>
      <w:r w:rsidRPr="002123DB">
        <w:t xml:space="preserve"> 500Lx</w:t>
      </w:r>
      <w:r w:rsidR="00415399">
        <w:t>, doporučení 600Lx</w:t>
      </w:r>
      <w:r w:rsidRPr="002123DB">
        <w:t>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>Potravinářské prostory musí být pro všechny práce zásobeny pitnou vodou.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>Prostory osazené chladícím zařízeními musí být odvětrávány.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 xml:space="preserve">Ukončení přívodů pro </w:t>
      </w:r>
      <w:r w:rsidR="00415399">
        <w:t xml:space="preserve">dřezy bude pod stolem ve výšce </w:t>
      </w:r>
      <w:proofErr w:type="gramStart"/>
      <w:r w:rsidR="00415399">
        <w:t>5</w:t>
      </w:r>
      <w:r w:rsidRPr="002123DB">
        <w:t>50</w:t>
      </w:r>
      <w:r w:rsidR="00415399">
        <w:t>mm</w:t>
      </w:r>
      <w:proofErr w:type="gramEnd"/>
      <w:r w:rsidR="00415399">
        <w:t xml:space="preserve"> na rohových ventilech, nebo pokud nebude stanoveno jinak.</w:t>
      </w:r>
    </w:p>
    <w:p w:rsidR="009725DF" w:rsidRPr="002123DB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spacing w:after="120"/>
        <w:ind w:left="1281" w:hanging="357"/>
      </w:pPr>
      <w:r w:rsidRPr="002123DB">
        <w:t>Odpady v celém provozu z materiálu se stálou tepelnou odolností do 100°C.</w:t>
      </w:r>
    </w:p>
    <w:p w:rsidR="005713D3" w:rsidRDefault="009725DF" w:rsidP="00D123C4">
      <w:pPr>
        <w:pStyle w:val="PD"/>
        <w:numPr>
          <w:ilvl w:val="0"/>
          <w:numId w:val="14"/>
        </w:numPr>
        <w:tabs>
          <w:tab w:val="clear" w:pos="2552"/>
          <w:tab w:val="left" w:pos="1276"/>
        </w:tabs>
        <w:rPr>
          <w:lang w:eastAsia="cs-CZ"/>
        </w:rPr>
      </w:pPr>
      <w:r w:rsidRPr="002123DB">
        <w:t>Provozovatel zajistí systém evidence kritických bodů.</w:t>
      </w:r>
    </w:p>
    <w:p w:rsidR="009725DF" w:rsidRPr="002123DB" w:rsidRDefault="009725DF" w:rsidP="00522A93">
      <w:pPr>
        <w:pStyle w:val="PDnadpis1"/>
        <w:jc w:val="both"/>
      </w:pPr>
      <w:bookmarkStart w:id="79" w:name="_Toc412029794"/>
      <w:bookmarkStart w:id="80" w:name="_Toc422406061"/>
      <w:bookmarkStart w:id="81" w:name="_Toc441132777"/>
      <w:bookmarkStart w:id="82" w:name="_Toc471204097"/>
      <w:bookmarkStart w:id="83" w:name="_Toc475703633"/>
      <w:r w:rsidRPr="002123DB">
        <w:t>Závěr</w:t>
      </w:r>
      <w:bookmarkEnd w:id="79"/>
      <w:bookmarkEnd w:id="80"/>
      <w:bookmarkEnd w:id="81"/>
      <w:bookmarkEnd w:id="82"/>
      <w:bookmarkEnd w:id="83"/>
    </w:p>
    <w:p w:rsidR="009725DF" w:rsidRPr="002123DB" w:rsidRDefault="009725DF" w:rsidP="005C6707">
      <w:pPr>
        <w:pStyle w:val="PD"/>
      </w:pPr>
      <w:r w:rsidRPr="002123DB">
        <w:t>Součástí projektové dokumentace je prostorová studie kuchyně, výkres a specifikace navrhovaného zařízení daného objektu a všeobecný popis dodávaného zařízení.</w:t>
      </w:r>
    </w:p>
    <w:p w:rsidR="009725DF" w:rsidRPr="002123DB" w:rsidRDefault="009725DF" w:rsidP="005C6707">
      <w:pPr>
        <w:pStyle w:val="PD"/>
      </w:pPr>
      <w:r w:rsidRPr="002123DB">
        <w:t>Celá projektová dokumentace řeší stravovací provoz v rámci možností, které poskytuje stavební dispozice a podle poskytnutých informací provozovatele. Technologická zařízení jsou prostorově uspořádána tak, aby vyhovovala danému typu stravovacího zařízení a platným hygienickým normám.</w:t>
      </w:r>
    </w:p>
    <w:p w:rsidR="00C707C5" w:rsidRDefault="009725DF" w:rsidP="00D123C4">
      <w:pPr>
        <w:pStyle w:val="PD"/>
      </w:pPr>
      <w:r w:rsidRPr="002123DB">
        <w:t>Zpracovatel projektové dokumentace neodpovídá za změny, které by mohly vzniknout dodatečnými stavebními úpravami či změnou původníc</w:t>
      </w:r>
      <w:r w:rsidR="00A148D6">
        <w:t>h požadavků investora na provoz.</w:t>
      </w:r>
    </w:p>
    <w:p w:rsidR="006E1E4D" w:rsidRDefault="006E1E4D" w:rsidP="006E1E4D">
      <w:pPr>
        <w:pStyle w:val="PD"/>
        <w:ind w:firstLine="0"/>
      </w:pPr>
    </w:p>
    <w:p w:rsidR="006E1E4D" w:rsidRDefault="006E1E4D" w:rsidP="006E1E4D">
      <w:pPr>
        <w:pStyle w:val="PD"/>
        <w:ind w:firstLine="0"/>
      </w:pPr>
    </w:p>
    <w:p w:rsidR="006E1E4D" w:rsidRDefault="006E1E4D" w:rsidP="006E1E4D">
      <w:pPr>
        <w:pStyle w:val="PD"/>
        <w:ind w:firstLine="0"/>
      </w:pPr>
    </w:p>
    <w:p w:rsidR="006E1E4D" w:rsidRPr="008631BF" w:rsidRDefault="006E1E4D" w:rsidP="006E1E4D">
      <w:pPr>
        <w:pStyle w:val="PD"/>
        <w:ind w:firstLine="0"/>
      </w:pPr>
      <w:r>
        <w:t xml:space="preserve">V Brně, </w:t>
      </w:r>
      <w:r w:rsidR="00B70D80">
        <w:t>0</w:t>
      </w:r>
      <w:r w:rsidR="003F075F">
        <w:t>2</w:t>
      </w:r>
      <w:r>
        <w:t>/1</w:t>
      </w:r>
      <w:r w:rsidR="00A77C28">
        <w:t>8</w:t>
      </w:r>
      <w:r>
        <w:tab/>
      </w:r>
      <w:r>
        <w:tab/>
      </w:r>
      <w:r>
        <w:tab/>
        <w:t>Ing. Jan Hrůza</w:t>
      </w:r>
    </w:p>
    <w:sectPr w:rsidR="006E1E4D" w:rsidRPr="008631BF" w:rsidSect="00F7338C">
      <w:footerReference w:type="default" r:id="rId8"/>
      <w:pgSz w:w="11906" w:h="16838" w:code="9"/>
      <w:pgMar w:top="1418" w:right="1418" w:bottom="1418" w:left="1701" w:header="709" w:footer="709" w:gutter="0"/>
      <w:pgNumType w:fmt="numberInDash"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538" w:rsidRDefault="00B72538" w:rsidP="00841315">
      <w:r>
        <w:separator/>
      </w:r>
    </w:p>
  </w:endnote>
  <w:endnote w:type="continuationSeparator" w:id="0">
    <w:p w:rsidR="00B72538" w:rsidRDefault="00B72538" w:rsidP="0084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INPro-Bold">
    <w:panose1 w:val="02000503030000020004"/>
    <w:charset w:val="EE"/>
    <w:family w:val="auto"/>
    <w:pitch w:val="variable"/>
    <w:sig w:usb0="800002AF" w:usb1="4000206A" w:usb2="00000000" w:usb3="00000000" w:csb0="0000009F" w:csb1="00000000"/>
  </w:font>
  <w:font w:name="DINPro-Light">
    <w:panose1 w:val="02000504040000020003"/>
    <w:charset w:val="EE"/>
    <w:family w:val="auto"/>
    <w:pitch w:val="variable"/>
    <w:sig w:usb0="800002AF" w:usb1="4000206A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Pro-Medium">
    <w:panose1 w:val="02000503030000020004"/>
    <w:charset w:val="EE"/>
    <w:family w:val="auto"/>
    <w:pitch w:val="variable"/>
    <w:sig w:usb0="800002AF" w:usb1="4000206A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686" w:rsidRPr="006A1F48" w:rsidRDefault="00231EE5">
    <w:pPr>
      <w:pStyle w:val="Zpat"/>
      <w:jc w:val="center"/>
      <w:rPr>
        <w:rFonts w:ascii="DINPro-Light" w:hAnsi="DINPro-Light" w:cs="Segoe UI"/>
        <w:sz w:val="20"/>
        <w:szCs w:val="20"/>
      </w:rPr>
    </w:pPr>
    <w:r w:rsidRPr="006A1F48">
      <w:rPr>
        <w:rFonts w:ascii="DINPro-Light" w:hAnsi="DINPro-Light" w:cs="Segoe UI"/>
        <w:sz w:val="20"/>
        <w:szCs w:val="20"/>
      </w:rPr>
      <w:fldChar w:fldCharType="begin"/>
    </w:r>
    <w:r w:rsidR="00576686" w:rsidRPr="006A1F48">
      <w:rPr>
        <w:rFonts w:ascii="DINPro-Light" w:hAnsi="DINPro-Light" w:cs="Segoe UI"/>
        <w:sz w:val="20"/>
        <w:szCs w:val="20"/>
      </w:rPr>
      <w:instrText xml:space="preserve"> PAGE   \* MERGEFORMAT </w:instrText>
    </w:r>
    <w:r w:rsidRPr="006A1F48">
      <w:rPr>
        <w:rFonts w:ascii="DINPro-Light" w:hAnsi="DINPro-Light" w:cs="Segoe UI"/>
        <w:sz w:val="20"/>
        <w:szCs w:val="20"/>
      </w:rPr>
      <w:fldChar w:fldCharType="separate"/>
    </w:r>
    <w:r w:rsidR="006731CC">
      <w:rPr>
        <w:rFonts w:ascii="DINPro-Light" w:hAnsi="DINPro-Light" w:cs="Segoe UI"/>
        <w:noProof/>
        <w:sz w:val="20"/>
        <w:szCs w:val="20"/>
      </w:rPr>
      <w:t>- 7 -</w:t>
    </w:r>
    <w:r w:rsidRPr="006A1F48">
      <w:rPr>
        <w:rFonts w:ascii="DINPro-Light" w:hAnsi="DINPro-Light" w:cs="Segoe UI"/>
        <w:sz w:val="20"/>
        <w:szCs w:val="20"/>
      </w:rPr>
      <w:fldChar w:fldCharType="end"/>
    </w:r>
  </w:p>
  <w:p w:rsidR="00576686" w:rsidRDefault="005766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538" w:rsidRDefault="00B72538" w:rsidP="00841315">
      <w:r>
        <w:separator/>
      </w:r>
    </w:p>
  </w:footnote>
  <w:footnote w:type="continuationSeparator" w:id="0">
    <w:p w:rsidR="00B72538" w:rsidRDefault="00B72538" w:rsidP="00841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235"/>
    <w:multiLevelType w:val="hybridMultilevel"/>
    <w:tmpl w:val="CC6CF19A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30216D9"/>
    <w:multiLevelType w:val="hybridMultilevel"/>
    <w:tmpl w:val="82765D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D2385F"/>
    <w:multiLevelType w:val="hybridMultilevel"/>
    <w:tmpl w:val="401CF7E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33117F"/>
    <w:multiLevelType w:val="hybridMultilevel"/>
    <w:tmpl w:val="E88AB1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721F6C"/>
    <w:multiLevelType w:val="hybridMultilevel"/>
    <w:tmpl w:val="4D263D5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6FA29DF"/>
    <w:multiLevelType w:val="hybridMultilevel"/>
    <w:tmpl w:val="F650F40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B5D0053"/>
    <w:multiLevelType w:val="multilevel"/>
    <w:tmpl w:val="A1BC50E0"/>
    <w:styleLink w:val="Bakalk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1B7813C5"/>
    <w:multiLevelType w:val="multilevel"/>
    <w:tmpl w:val="65D63CC6"/>
    <w:lvl w:ilvl="0">
      <w:start w:val="1"/>
      <w:numFmt w:val="decimal"/>
      <w:pStyle w:val="PDnadpis1"/>
      <w:lvlText w:val="G.%1"/>
      <w:lvlJc w:val="left"/>
      <w:pPr>
        <w:ind w:left="1134" w:hanging="850"/>
      </w:pPr>
      <w:rPr>
        <w:rFonts w:hint="default"/>
        <w:color w:val="auto"/>
      </w:rPr>
    </w:lvl>
    <w:lvl w:ilvl="1">
      <w:start w:val="1"/>
      <w:numFmt w:val="decimal"/>
      <w:pStyle w:val="PDnadpis2"/>
      <w:lvlText w:val="G.%1.%2"/>
      <w:lvlJc w:val="left"/>
      <w:pPr>
        <w:ind w:left="1134" w:hanging="850"/>
      </w:pPr>
      <w:rPr>
        <w:rFonts w:hint="default"/>
      </w:rPr>
    </w:lvl>
    <w:lvl w:ilvl="2">
      <w:start w:val="1"/>
      <w:numFmt w:val="lowerLetter"/>
      <w:pStyle w:val="PDnadpis3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pStyle w:val="PDnadpis4"/>
      <w:lvlText w:val="G.1.%1.%2.%4"/>
      <w:lvlJc w:val="left"/>
      <w:pPr>
        <w:ind w:left="1134" w:hanging="85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89" w:hanging="180"/>
      </w:pPr>
      <w:rPr>
        <w:rFonts w:hint="default"/>
      </w:rPr>
    </w:lvl>
  </w:abstractNum>
  <w:abstractNum w:abstractNumId="8" w15:restartNumberingAfterBreak="0">
    <w:nsid w:val="23373FF7"/>
    <w:multiLevelType w:val="hybridMultilevel"/>
    <w:tmpl w:val="6B58ABD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CA17D2"/>
    <w:multiLevelType w:val="hybridMultilevel"/>
    <w:tmpl w:val="0D96907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8C73727"/>
    <w:multiLevelType w:val="multilevel"/>
    <w:tmpl w:val="B5480D72"/>
    <w:styleLink w:val="B"/>
    <w:lvl w:ilvl="0">
      <w:start w:val="1"/>
      <w:numFmt w:val="decimal"/>
      <w:lvlText w:val="B.%1"/>
      <w:lvlJc w:val="left"/>
      <w:pPr>
        <w:ind w:left="1134" w:hanging="850"/>
      </w:pPr>
      <w:rPr>
        <w:rFonts w:hint="default"/>
        <w:color w:val="auto"/>
      </w:rPr>
    </w:lvl>
    <w:lvl w:ilvl="1">
      <w:start w:val="1"/>
      <w:numFmt w:val="decimal"/>
      <w:lvlText w:val="B.%1.%2"/>
      <w:lvlJc w:val="left"/>
      <w:pPr>
        <w:ind w:left="1134" w:hanging="85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89" w:hanging="180"/>
      </w:pPr>
      <w:rPr>
        <w:rFonts w:hint="default"/>
      </w:rPr>
    </w:lvl>
  </w:abstractNum>
  <w:abstractNum w:abstractNumId="11" w15:restartNumberingAfterBreak="0">
    <w:nsid w:val="4FB7705D"/>
    <w:multiLevelType w:val="hybridMultilevel"/>
    <w:tmpl w:val="DC9CF4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B5F1408"/>
    <w:multiLevelType w:val="hybridMultilevel"/>
    <w:tmpl w:val="689810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C393260"/>
    <w:multiLevelType w:val="hybridMultilevel"/>
    <w:tmpl w:val="732A8C1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E76604"/>
    <w:multiLevelType w:val="hybridMultilevel"/>
    <w:tmpl w:val="EC841F6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  <w:num w:numId="11">
    <w:abstractNumId w:val="12"/>
  </w:num>
  <w:num w:numId="12">
    <w:abstractNumId w:val="14"/>
  </w:num>
  <w:num w:numId="13">
    <w:abstractNumId w:val="11"/>
  </w:num>
  <w:num w:numId="14">
    <w:abstractNumId w:val="8"/>
  </w:num>
  <w:num w:numId="15">
    <w:abstractNumId w:val="13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A06"/>
    <w:rsid w:val="0000328F"/>
    <w:rsid w:val="000106D4"/>
    <w:rsid w:val="00010EB9"/>
    <w:rsid w:val="0001201B"/>
    <w:rsid w:val="00020BA9"/>
    <w:rsid w:val="00024E60"/>
    <w:rsid w:val="00031E1E"/>
    <w:rsid w:val="00033AD5"/>
    <w:rsid w:val="0003600E"/>
    <w:rsid w:val="000615BB"/>
    <w:rsid w:val="00062A49"/>
    <w:rsid w:val="0006367E"/>
    <w:rsid w:val="00063BB4"/>
    <w:rsid w:val="0006750B"/>
    <w:rsid w:val="000675BC"/>
    <w:rsid w:val="00071861"/>
    <w:rsid w:val="00082E51"/>
    <w:rsid w:val="000A56A6"/>
    <w:rsid w:val="000A6ED1"/>
    <w:rsid w:val="000B59D7"/>
    <w:rsid w:val="000B68E3"/>
    <w:rsid w:val="000C436A"/>
    <w:rsid w:val="000C5541"/>
    <w:rsid w:val="000C6FED"/>
    <w:rsid w:val="000D0A7C"/>
    <w:rsid w:val="000D2F0D"/>
    <w:rsid w:val="000D5F25"/>
    <w:rsid w:val="000E16BC"/>
    <w:rsid w:val="000F217B"/>
    <w:rsid w:val="001229AB"/>
    <w:rsid w:val="00123792"/>
    <w:rsid w:val="001274E3"/>
    <w:rsid w:val="00130648"/>
    <w:rsid w:val="001350F0"/>
    <w:rsid w:val="00137919"/>
    <w:rsid w:val="0014201E"/>
    <w:rsid w:val="00151A47"/>
    <w:rsid w:val="001625F9"/>
    <w:rsid w:val="0016773C"/>
    <w:rsid w:val="001679A9"/>
    <w:rsid w:val="001727EF"/>
    <w:rsid w:val="00174CA0"/>
    <w:rsid w:val="00176636"/>
    <w:rsid w:val="00190E30"/>
    <w:rsid w:val="001963D6"/>
    <w:rsid w:val="001A0092"/>
    <w:rsid w:val="001A030C"/>
    <w:rsid w:val="001A28CE"/>
    <w:rsid w:val="001A3A89"/>
    <w:rsid w:val="001A5084"/>
    <w:rsid w:val="001A5466"/>
    <w:rsid w:val="001A7CC7"/>
    <w:rsid w:val="001B4B0D"/>
    <w:rsid w:val="001C12BB"/>
    <w:rsid w:val="001C31D6"/>
    <w:rsid w:val="001D2F33"/>
    <w:rsid w:val="001D3636"/>
    <w:rsid w:val="001E6CBE"/>
    <w:rsid w:val="001F0E56"/>
    <w:rsid w:val="001F1417"/>
    <w:rsid w:val="001F255D"/>
    <w:rsid w:val="001F38FE"/>
    <w:rsid w:val="001F56F6"/>
    <w:rsid w:val="0020155A"/>
    <w:rsid w:val="00206C18"/>
    <w:rsid w:val="0021101B"/>
    <w:rsid w:val="00212129"/>
    <w:rsid w:val="002123DB"/>
    <w:rsid w:val="00231EE5"/>
    <w:rsid w:val="002353A5"/>
    <w:rsid w:val="00240FDE"/>
    <w:rsid w:val="0024138E"/>
    <w:rsid w:val="00242D4B"/>
    <w:rsid w:val="00243E66"/>
    <w:rsid w:val="00254372"/>
    <w:rsid w:val="00255E31"/>
    <w:rsid w:val="00260DE2"/>
    <w:rsid w:val="00265A04"/>
    <w:rsid w:val="00266E44"/>
    <w:rsid w:val="0028208F"/>
    <w:rsid w:val="00283F65"/>
    <w:rsid w:val="0029668C"/>
    <w:rsid w:val="00296ADF"/>
    <w:rsid w:val="00297CBD"/>
    <w:rsid w:val="002A00A1"/>
    <w:rsid w:val="002A2651"/>
    <w:rsid w:val="002B1186"/>
    <w:rsid w:val="002B484B"/>
    <w:rsid w:val="002B51A4"/>
    <w:rsid w:val="002C11AB"/>
    <w:rsid w:val="002C6F28"/>
    <w:rsid w:val="002D2CB4"/>
    <w:rsid w:val="002D366B"/>
    <w:rsid w:val="002E14F9"/>
    <w:rsid w:val="002E43CA"/>
    <w:rsid w:val="002E52C9"/>
    <w:rsid w:val="002E6946"/>
    <w:rsid w:val="002F5C28"/>
    <w:rsid w:val="00301B54"/>
    <w:rsid w:val="00303157"/>
    <w:rsid w:val="003050BA"/>
    <w:rsid w:val="00310A84"/>
    <w:rsid w:val="00315AC2"/>
    <w:rsid w:val="00321EFD"/>
    <w:rsid w:val="003264FB"/>
    <w:rsid w:val="003265C4"/>
    <w:rsid w:val="00330C3A"/>
    <w:rsid w:val="00333A07"/>
    <w:rsid w:val="00335234"/>
    <w:rsid w:val="00341324"/>
    <w:rsid w:val="00355978"/>
    <w:rsid w:val="0036237D"/>
    <w:rsid w:val="00363DF7"/>
    <w:rsid w:val="00366570"/>
    <w:rsid w:val="00371E85"/>
    <w:rsid w:val="00373F33"/>
    <w:rsid w:val="0038571A"/>
    <w:rsid w:val="00392B4B"/>
    <w:rsid w:val="00396DC3"/>
    <w:rsid w:val="00397397"/>
    <w:rsid w:val="00397E7B"/>
    <w:rsid w:val="003A2EF6"/>
    <w:rsid w:val="003A781F"/>
    <w:rsid w:val="003A7BD5"/>
    <w:rsid w:val="003B247F"/>
    <w:rsid w:val="003B387D"/>
    <w:rsid w:val="003B5479"/>
    <w:rsid w:val="003B6C6D"/>
    <w:rsid w:val="003C20E8"/>
    <w:rsid w:val="003C3AF1"/>
    <w:rsid w:val="003D2B2F"/>
    <w:rsid w:val="003D7458"/>
    <w:rsid w:val="003E2CCD"/>
    <w:rsid w:val="003E3752"/>
    <w:rsid w:val="003E5F52"/>
    <w:rsid w:val="003F075F"/>
    <w:rsid w:val="003F4FA9"/>
    <w:rsid w:val="003F5A9F"/>
    <w:rsid w:val="003F6F6D"/>
    <w:rsid w:val="003F72B9"/>
    <w:rsid w:val="0040606C"/>
    <w:rsid w:val="004069B9"/>
    <w:rsid w:val="00411766"/>
    <w:rsid w:val="00415399"/>
    <w:rsid w:val="00424CE1"/>
    <w:rsid w:val="00427B79"/>
    <w:rsid w:val="00445907"/>
    <w:rsid w:val="0045046D"/>
    <w:rsid w:val="00456A53"/>
    <w:rsid w:val="0046060F"/>
    <w:rsid w:val="004610B6"/>
    <w:rsid w:val="0046304A"/>
    <w:rsid w:val="00467D92"/>
    <w:rsid w:val="00467FEA"/>
    <w:rsid w:val="0047585B"/>
    <w:rsid w:val="00490524"/>
    <w:rsid w:val="00496B1B"/>
    <w:rsid w:val="004A468F"/>
    <w:rsid w:val="004A520E"/>
    <w:rsid w:val="004A535B"/>
    <w:rsid w:val="004A5B85"/>
    <w:rsid w:val="004C588C"/>
    <w:rsid w:val="004C6AAF"/>
    <w:rsid w:val="004E102C"/>
    <w:rsid w:val="004E7CC9"/>
    <w:rsid w:val="004F4BC9"/>
    <w:rsid w:val="004F5A85"/>
    <w:rsid w:val="004F662C"/>
    <w:rsid w:val="00505B73"/>
    <w:rsid w:val="00506213"/>
    <w:rsid w:val="005077C7"/>
    <w:rsid w:val="00512742"/>
    <w:rsid w:val="0051511B"/>
    <w:rsid w:val="00522A93"/>
    <w:rsid w:val="00536104"/>
    <w:rsid w:val="00541A61"/>
    <w:rsid w:val="00553BDB"/>
    <w:rsid w:val="00553E9D"/>
    <w:rsid w:val="0055710E"/>
    <w:rsid w:val="00557AD3"/>
    <w:rsid w:val="0056759D"/>
    <w:rsid w:val="005713D3"/>
    <w:rsid w:val="0057265C"/>
    <w:rsid w:val="00574219"/>
    <w:rsid w:val="00576686"/>
    <w:rsid w:val="005776B2"/>
    <w:rsid w:val="0058025B"/>
    <w:rsid w:val="00584E17"/>
    <w:rsid w:val="00592129"/>
    <w:rsid w:val="005B3B33"/>
    <w:rsid w:val="005C0C3D"/>
    <w:rsid w:val="005C2776"/>
    <w:rsid w:val="005C611A"/>
    <w:rsid w:val="005C6707"/>
    <w:rsid w:val="005D1E0F"/>
    <w:rsid w:val="005D44CD"/>
    <w:rsid w:val="005E5FFB"/>
    <w:rsid w:val="005E7B09"/>
    <w:rsid w:val="005F0345"/>
    <w:rsid w:val="005F37DA"/>
    <w:rsid w:val="00610B98"/>
    <w:rsid w:val="00626313"/>
    <w:rsid w:val="00626B15"/>
    <w:rsid w:val="00632A58"/>
    <w:rsid w:val="00636840"/>
    <w:rsid w:val="00641D21"/>
    <w:rsid w:val="00642AD5"/>
    <w:rsid w:val="00646430"/>
    <w:rsid w:val="00647A5C"/>
    <w:rsid w:val="00650F24"/>
    <w:rsid w:val="00657984"/>
    <w:rsid w:val="00661FF7"/>
    <w:rsid w:val="0066791C"/>
    <w:rsid w:val="006731CC"/>
    <w:rsid w:val="00674519"/>
    <w:rsid w:val="00681EED"/>
    <w:rsid w:val="0068690D"/>
    <w:rsid w:val="00686E49"/>
    <w:rsid w:val="006873E5"/>
    <w:rsid w:val="00691FA0"/>
    <w:rsid w:val="006A1F48"/>
    <w:rsid w:val="006A664E"/>
    <w:rsid w:val="006A75AE"/>
    <w:rsid w:val="006A77BC"/>
    <w:rsid w:val="006B177E"/>
    <w:rsid w:val="006B293E"/>
    <w:rsid w:val="006B66F6"/>
    <w:rsid w:val="006C3A53"/>
    <w:rsid w:val="006C7293"/>
    <w:rsid w:val="006C7F6B"/>
    <w:rsid w:val="006E0EAB"/>
    <w:rsid w:val="006E1E4D"/>
    <w:rsid w:val="006F367D"/>
    <w:rsid w:val="006F6CFF"/>
    <w:rsid w:val="007014F4"/>
    <w:rsid w:val="00703D5A"/>
    <w:rsid w:val="00711560"/>
    <w:rsid w:val="00713A06"/>
    <w:rsid w:val="00715B3C"/>
    <w:rsid w:val="00730C30"/>
    <w:rsid w:val="00733BBC"/>
    <w:rsid w:val="00743800"/>
    <w:rsid w:val="007438E5"/>
    <w:rsid w:val="00747FD9"/>
    <w:rsid w:val="00750452"/>
    <w:rsid w:val="007520E4"/>
    <w:rsid w:val="00780D58"/>
    <w:rsid w:val="00782AA6"/>
    <w:rsid w:val="00794FCA"/>
    <w:rsid w:val="007A024B"/>
    <w:rsid w:val="007A090C"/>
    <w:rsid w:val="007A2525"/>
    <w:rsid w:val="007A4E84"/>
    <w:rsid w:val="007A5414"/>
    <w:rsid w:val="007B23CB"/>
    <w:rsid w:val="007B69DE"/>
    <w:rsid w:val="007C0736"/>
    <w:rsid w:val="007C6FC1"/>
    <w:rsid w:val="007E21C3"/>
    <w:rsid w:val="007E6A36"/>
    <w:rsid w:val="007F3843"/>
    <w:rsid w:val="00800F21"/>
    <w:rsid w:val="00801A7F"/>
    <w:rsid w:val="008038AA"/>
    <w:rsid w:val="00804EEF"/>
    <w:rsid w:val="00813277"/>
    <w:rsid w:val="00817C6B"/>
    <w:rsid w:val="00822AF8"/>
    <w:rsid w:val="00825420"/>
    <w:rsid w:val="00827680"/>
    <w:rsid w:val="00834199"/>
    <w:rsid w:val="0084093B"/>
    <w:rsid w:val="00841315"/>
    <w:rsid w:val="0085031D"/>
    <w:rsid w:val="0085283C"/>
    <w:rsid w:val="00860645"/>
    <w:rsid w:val="008631BF"/>
    <w:rsid w:val="008732A3"/>
    <w:rsid w:val="00874BAB"/>
    <w:rsid w:val="00875E10"/>
    <w:rsid w:val="00887EB2"/>
    <w:rsid w:val="00890E51"/>
    <w:rsid w:val="00892CDC"/>
    <w:rsid w:val="008A06CE"/>
    <w:rsid w:val="008A51E2"/>
    <w:rsid w:val="008A7586"/>
    <w:rsid w:val="008B0B9F"/>
    <w:rsid w:val="008B115F"/>
    <w:rsid w:val="008B4FC3"/>
    <w:rsid w:val="008B7FBE"/>
    <w:rsid w:val="008D1A73"/>
    <w:rsid w:val="008D57A0"/>
    <w:rsid w:val="008E1F7B"/>
    <w:rsid w:val="008E3A4B"/>
    <w:rsid w:val="008E66B5"/>
    <w:rsid w:val="008F081F"/>
    <w:rsid w:val="0091566E"/>
    <w:rsid w:val="00916302"/>
    <w:rsid w:val="00922870"/>
    <w:rsid w:val="00922C6C"/>
    <w:rsid w:val="00927FD5"/>
    <w:rsid w:val="00950B8A"/>
    <w:rsid w:val="009612F2"/>
    <w:rsid w:val="009650BC"/>
    <w:rsid w:val="00966FB5"/>
    <w:rsid w:val="009716D4"/>
    <w:rsid w:val="009725DF"/>
    <w:rsid w:val="009754EB"/>
    <w:rsid w:val="00984085"/>
    <w:rsid w:val="00987A5A"/>
    <w:rsid w:val="009A164D"/>
    <w:rsid w:val="009A45F9"/>
    <w:rsid w:val="009A6934"/>
    <w:rsid w:val="009B7F7B"/>
    <w:rsid w:val="009C15A0"/>
    <w:rsid w:val="009C7A4C"/>
    <w:rsid w:val="009D26A7"/>
    <w:rsid w:val="009E3086"/>
    <w:rsid w:val="009E5A83"/>
    <w:rsid w:val="009F15A4"/>
    <w:rsid w:val="009F530B"/>
    <w:rsid w:val="00A07BD1"/>
    <w:rsid w:val="00A13159"/>
    <w:rsid w:val="00A13693"/>
    <w:rsid w:val="00A13C48"/>
    <w:rsid w:val="00A148D6"/>
    <w:rsid w:val="00A155BF"/>
    <w:rsid w:val="00A30A69"/>
    <w:rsid w:val="00A30DBD"/>
    <w:rsid w:val="00A30FEC"/>
    <w:rsid w:val="00A33C36"/>
    <w:rsid w:val="00A52BF0"/>
    <w:rsid w:val="00A5308D"/>
    <w:rsid w:val="00A60B7B"/>
    <w:rsid w:val="00A746CD"/>
    <w:rsid w:val="00A750C4"/>
    <w:rsid w:val="00A776F5"/>
    <w:rsid w:val="00A77C28"/>
    <w:rsid w:val="00A848AC"/>
    <w:rsid w:val="00A85BB0"/>
    <w:rsid w:val="00A8624D"/>
    <w:rsid w:val="00A90E24"/>
    <w:rsid w:val="00A927E3"/>
    <w:rsid w:val="00A952CE"/>
    <w:rsid w:val="00A97734"/>
    <w:rsid w:val="00AA3683"/>
    <w:rsid w:val="00AA4E85"/>
    <w:rsid w:val="00AB11BC"/>
    <w:rsid w:val="00AB1349"/>
    <w:rsid w:val="00AB3ABC"/>
    <w:rsid w:val="00AB75DA"/>
    <w:rsid w:val="00AC34C0"/>
    <w:rsid w:val="00AC3BFB"/>
    <w:rsid w:val="00AD0C18"/>
    <w:rsid w:val="00AD70FA"/>
    <w:rsid w:val="00AD7966"/>
    <w:rsid w:val="00AE2685"/>
    <w:rsid w:val="00AF54E9"/>
    <w:rsid w:val="00B06BCE"/>
    <w:rsid w:val="00B10224"/>
    <w:rsid w:val="00B16513"/>
    <w:rsid w:val="00B22562"/>
    <w:rsid w:val="00B24243"/>
    <w:rsid w:val="00B27D90"/>
    <w:rsid w:val="00B32509"/>
    <w:rsid w:val="00B41E3C"/>
    <w:rsid w:val="00B42839"/>
    <w:rsid w:val="00B4522F"/>
    <w:rsid w:val="00B46334"/>
    <w:rsid w:val="00B46F2C"/>
    <w:rsid w:val="00B50E60"/>
    <w:rsid w:val="00B5321A"/>
    <w:rsid w:val="00B55020"/>
    <w:rsid w:val="00B56497"/>
    <w:rsid w:val="00B63E97"/>
    <w:rsid w:val="00B666B4"/>
    <w:rsid w:val="00B70D80"/>
    <w:rsid w:val="00B72538"/>
    <w:rsid w:val="00B9055A"/>
    <w:rsid w:val="00B92BED"/>
    <w:rsid w:val="00B96022"/>
    <w:rsid w:val="00BA3BB8"/>
    <w:rsid w:val="00BA68E8"/>
    <w:rsid w:val="00BB7CE3"/>
    <w:rsid w:val="00BC0BC5"/>
    <w:rsid w:val="00BD0CC8"/>
    <w:rsid w:val="00BD310E"/>
    <w:rsid w:val="00BD3DA1"/>
    <w:rsid w:val="00BE29DF"/>
    <w:rsid w:val="00BF059A"/>
    <w:rsid w:val="00BF10F8"/>
    <w:rsid w:val="00C02DF2"/>
    <w:rsid w:val="00C03B4D"/>
    <w:rsid w:val="00C03E71"/>
    <w:rsid w:val="00C0708A"/>
    <w:rsid w:val="00C12CB9"/>
    <w:rsid w:val="00C20A46"/>
    <w:rsid w:val="00C33383"/>
    <w:rsid w:val="00C43059"/>
    <w:rsid w:val="00C450F1"/>
    <w:rsid w:val="00C51037"/>
    <w:rsid w:val="00C5481C"/>
    <w:rsid w:val="00C60D46"/>
    <w:rsid w:val="00C63559"/>
    <w:rsid w:val="00C65BE1"/>
    <w:rsid w:val="00C67D45"/>
    <w:rsid w:val="00C707C5"/>
    <w:rsid w:val="00C77305"/>
    <w:rsid w:val="00C81361"/>
    <w:rsid w:val="00C85896"/>
    <w:rsid w:val="00C86155"/>
    <w:rsid w:val="00C8658D"/>
    <w:rsid w:val="00C87131"/>
    <w:rsid w:val="00C91282"/>
    <w:rsid w:val="00CA2503"/>
    <w:rsid w:val="00CB138A"/>
    <w:rsid w:val="00CB6267"/>
    <w:rsid w:val="00CD4C82"/>
    <w:rsid w:val="00CD7342"/>
    <w:rsid w:val="00CE62D7"/>
    <w:rsid w:val="00CF6778"/>
    <w:rsid w:val="00CF6AEA"/>
    <w:rsid w:val="00D00C20"/>
    <w:rsid w:val="00D077E5"/>
    <w:rsid w:val="00D123C4"/>
    <w:rsid w:val="00D17081"/>
    <w:rsid w:val="00D25568"/>
    <w:rsid w:val="00D33DBE"/>
    <w:rsid w:val="00D47286"/>
    <w:rsid w:val="00D5127B"/>
    <w:rsid w:val="00D676CC"/>
    <w:rsid w:val="00D6795A"/>
    <w:rsid w:val="00D71648"/>
    <w:rsid w:val="00D76926"/>
    <w:rsid w:val="00D82A17"/>
    <w:rsid w:val="00D833FA"/>
    <w:rsid w:val="00D843F5"/>
    <w:rsid w:val="00DA2C8E"/>
    <w:rsid w:val="00DA3E3C"/>
    <w:rsid w:val="00DA77B2"/>
    <w:rsid w:val="00DA7F19"/>
    <w:rsid w:val="00DB3970"/>
    <w:rsid w:val="00DB418A"/>
    <w:rsid w:val="00DB45F5"/>
    <w:rsid w:val="00DC0BAC"/>
    <w:rsid w:val="00DC0F54"/>
    <w:rsid w:val="00DC270E"/>
    <w:rsid w:val="00DC7974"/>
    <w:rsid w:val="00DC7ED8"/>
    <w:rsid w:val="00DE476F"/>
    <w:rsid w:val="00DF7B63"/>
    <w:rsid w:val="00E04189"/>
    <w:rsid w:val="00E05321"/>
    <w:rsid w:val="00E10E4A"/>
    <w:rsid w:val="00E11302"/>
    <w:rsid w:val="00E12380"/>
    <w:rsid w:val="00E153CD"/>
    <w:rsid w:val="00E153FB"/>
    <w:rsid w:val="00E16A40"/>
    <w:rsid w:val="00E21926"/>
    <w:rsid w:val="00E22BCA"/>
    <w:rsid w:val="00E36F06"/>
    <w:rsid w:val="00E41B1A"/>
    <w:rsid w:val="00E4348E"/>
    <w:rsid w:val="00E52C80"/>
    <w:rsid w:val="00E6281A"/>
    <w:rsid w:val="00E70BDB"/>
    <w:rsid w:val="00E73B55"/>
    <w:rsid w:val="00E742D9"/>
    <w:rsid w:val="00E756DB"/>
    <w:rsid w:val="00E77B19"/>
    <w:rsid w:val="00E83369"/>
    <w:rsid w:val="00E87B18"/>
    <w:rsid w:val="00E87BBB"/>
    <w:rsid w:val="00E92839"/>
    <w:rsid w:val="00EA1253"/>
    <w:rsid w:val="00EB0558"/>
    <w:rsid w:val="00EB42A9"/>
    <w:rsid w:val="00EB449F"/>
    <w:rsid w:val="00EB5D9A"/>
    <w:rsid w:val="00EC219A"/>
    <w:rsid w:val="00EC609D"/>
    <w:rsid w:val="00ED19AE"/>
    <w:rsid w:val="00ED4802"/>
    <w:rsid w:val="00F05299"/>
    <w:rsid w:val="00F06291"/>
    <w:rsid w:val="00F15034"/>
    <w:rsid w:val="00F1509B"/>
    <w:rsid w:val="00F17CDD"/>
    <w:rsid w:val="00F24A97"/>
    <w:rsid w:val="00F24FD9"/>
    <w:rsid w:val="00F262B0"/>
    <w:rsid w:val="00F46D0E"/>
    <w:rsid w:val="00F5228E"/>
    <w:rsid w:val="00F52D3D"/>
    <w:rsid w:val="00F61A61"/>
    <w:rsid w:val="00F635D7"/>
    <w:rsid w:val="00F70B1D"/>
    <w:rsid w:val="00F7338C"/>
    <w:rsid w:val="00F76E3F"/>
    <w:rsid w:val="00F8086E"/>
    <w:rsid w:val="00F80BA8"/>
    <w:rsid w:val="00F87384"/>
    <w:rsid w:val="00F92817"/>
    <w:rsid w:val="00F9589E"/>
    <w:rsid w:val="00F9751F"/>
    <w:rsid w:val="00F97A56"/>
    <w:rsid w:val="00F97D15"/>
    <w:rsid w:val="00FA7006"/>
    <w:rsid w:val="00FA73D1"/>
    <w:rsid w:val="00FA758D"/>
    <w:rsid w:val="00FB0620"/>
    <w:rsid w:val="00FB14E7"/>
    <w:rsid w:val="00FC3CA1"/>
    <w:rsid w:val="00FC6235"/>
    <w:rsid w:val="00FE0AB2"/>
    <w:rsid w:val="00FE59F7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1DF6"/>
  <w15:chartTrackingRefBased/>
  <w15:docId w15:val="{F2B77811-E09B-441A-B616-55E026A8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Obyč"/>
    <w:rsid w:val="00713A0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rsid w:val="00713A06"/>
    <w:pPr>
      <w:spacing w:after="120" w:line="288" w:lineRule="auto"/>
      <w:jc w:val="both"/>
      <w:outlineLvl w:val="0"/>
    </w:pPr>
    <w:rPr>
      <w:rFonts w:ascii="Arial" w:eastAsia="Calibri" w:hAnsi="Arial"/>
      <w:caps/>
      <w:color w:val="808080"/>
      <w:sz w:val="20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6E3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13A06"/>
    <w:pPr>
      <w:keepNext/>
      <w:outlineLvl w:val="2"/>
    </w:pPr>
    <w:rPr>
      <w:rFonts w:ascii="Arial" w:hAnsi="Arial"/>
      <w:color w:val="808080"/>
      <w:sz w:val="28"/>
      <w:lang w:val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13A06"/>
    <w:pPr>
      <w:keepNext/>
      <w:outlineLvl w:val="3"/>
    </w:pPr>
    <w:rPr>
      <w:rFonts w:ascii="Arial" w:hAnsi="Arial"/>
      <w:color w:val="808080"/>
      <w:sz w:val="3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65BE1"/>
    <w:pPr>
      <w:keepNext/>
      <w:keepLines/>
      <w:spacing w:before="200"/>
      <w:outlineLvl w:val="4"/>
    </w:pPr>
    <w:rPr>
      <w:rFonts w:ascii="Cambria" w:hAnsi="Cambria"/>
      <w:color w:val="243F60"/>
      <w:lang w:val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13A06"/>
    <w:pPr>
      <w:keepNext/>
      <w:outlineLvl w:val="5"/>
    </w:pPr>
    <w:rPr>
      <w:rFonts w:ascii="Arial" w:hAnsi="Arial"/>
      <w:sz w:val="32"/>
      <w:lang w:val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13A06"/>
    <w:pPr>
      <w:keepNext/>
      <w:outlineLvl w:val="6"/>
    </w:pPr>
    <w:rPr>
      <w:rFonts w:ascii="Arial" w:hAnsi="Arial"/>
      <w:sz w:val="36"/>
      <w:lang w:val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3A06"/>
    <w:pPr>
      <w:keepNext/>
      <w:outlineLvl w:val="8"/>
    </w:pPr>
    <w:rPr>
      <w:rFonts w:ascii="Arial" w:hAnsi="Arial"/>
      <w:color w:val="9999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713A06"/>
    <w:rPr>
      <w:rFonts w:ascii="Arial" w:hAnsi="Arial" w:cs="Times New Roman"/>
      <w:caps/>
      <w:color w:val="808080"/>
      <w:sz w:val="20"/>
      <w:szCs w:val="20"/>
    </w:rPr>
  </w:style>
  <w:style w:type="character" w:customStyle="1" w:styleId="Nadpis3Char">
    <w:name w:val="Nadpis 3 Char"/>
    <w:link w:val="Nadpis3"/>
    <w:semiHidden/>
    <w:rsid w:val="00713A06"/>
    <w:rPr>
      <w:rFonts w:ascii="Arial" w:eastAsia="Times New Roman" w:hAnsi="Arial" w:cs="Arial"/>
      <w:color w:val="808080"/>
      <w:sz w:val="28"/>
      <w:szCs w:val="24"/>
      <w:lang w:eastAsia="cs-CZ"/>
    </w:rPr>
  </w:style>
  <w:style w:type="character" w:customStyle="1" w:styleId="Nadpis4Char">
    <w:name w:val="Nadpis 4 Char"/>
    <w:link w:val="Nadpis4"/>
    <w:semiHidden/>
    <w:rsid w:val="00713A06"/>
    <w:rPr>
      <w:rFonts w:ascii="Arial" w:eastAsia="Times New Roman" w:hAnsi="Arial" w:cs="Arial"/>
      <w:color w:val="808080"/>
      <w:sz w:val="36"/>
      <w:szCs w:val="24"/>
      <w:lang w:eastAsia="cs-CZ"/>
    </w:rPr>
  </w:style>
  <w:style w:type="character" w:customStyle="1" w:styleId="Nadpis6Char">
    <w:name w:val="Nadpis 6 Char"/>
    <w:link w:val="Nadpis6"/>
    <w:semiHidden/>
    <w:rsid w:val="00713A06"/>
    <w:rPr>
      <w:rFonts w:ascii="Arial" w:eastAsia="Times New Roman" w:hAnsi="Arial" w:cs="Arial"/>
      <w:sz w:val="32"/>
      <w:szCs w:val="24"/>
      <w:lang w:eastAsia="cs-CZ"/>
    </w:rPr>
  </w:style>
  <w:style w:type="character" w:customStyle="1" w:styleId="Nadpis7Char">
    <w:name w:val="Nadpis 7 Char"/>
    <w:link w:val="Nadpis7"/>
    <w:semiHidden/>
    <w:rsid w:val="00713A06"/>
    <w:rPr>
      <w:rFonts w:ascii="Arial" w:eastAsia="Times New Roman" w:hAnsi="Arial" w:cs="Arial"/>
      <w:sz w:val="36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13A06"/>
    <w:rPr>
      <w:rFonts w:ascii="Arial" w:eastAsia="Times New Roman" w:hAnsi="Arial" w:cs="Arial"/>
      <w:color w:val="999999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F1417"/>
    <w:pPr>
      <w:ind w:left="720"/>
      <w:contextualSpacing/>
    </w:pPr>
  </w:style>
  <w:style w:type="paragraph" w:customStyle="1" w:styleId="PDnadpis1">
    <w:name w:val="PD nadpis 1"/>
    <w:basedOn w:val="Odstavecseseznamem"/>
    <w:next w:val="PD"/>
    <w:autoRedefine/>
    <w:qFormat/>
    <w:rsid w:val="00574219"/>
    <w:pPr>
      <w:numPr>
        <w:numId w:val="3"/>
      </w:numPr>
      <w:spacing w:after="200" w:line="288" w:lineRule="auto"/>
      <w:contextualSpacing w:val="0"/>
    </w:pPr>
    <w:rPr>
      <w:rFonts w:ascii="DINPro-Bold" w:hAnsi="DINPro-Bold" w:cs="Calibri"/>
      <w:sz w:val="22"/>
    </w:rPr>
  </w:style>
  <w:style w:type="paragraph" w:customStyle="1" w:styleId="PD">
    <w:name w:val="PD"/>
    <w:basedOn w:val="Normln"/>
    <w:autoRedefine/>
    <w:qFormat/>
    <w:rsid w:val="005C6707"/>
    <w:pPr>
      <w:tabs>
        <w:tab w:val="left" w:pos="2552"/>
        <w:tab w:val="left" w:pos="5103"/>
        <w:tab w:val="right" w:pos="9070"/>
      </w:tabs>
      <w:spacing w:after="360" w:line="288" w:lineRule="auto"/>
      <w:ind w:firstLine="567"/>
      <w:jc w:val="both"/>
    </w:pPr>
    <w:rPr>
      <w:rFonts w:ascii="DINPro-Light" w:eastAsia="Calibri" w:hAnsi="DINPro-Light" w:cs="Segoe UI"/>
      <w:color w:val="222222"/>
      <w:sz w:val="20"/>
      <w:szCs w:val="20"/>
      <w:shd w:val="clear" w:color="auto" w:fill="FFFFFF"/>
      <w:lang w:eastAsia="en-US"/>
    </w:rPr>
  </w:style>
  <w:style w:type="paragraph" w:customStyle="1" w:styleId="PDnadpis2">
    <w:name w:val="PD nadpis 2"/>
    <w:basedOn w:val="PDnadpis1"/>
    <w:next w:val="PD"/>
    <w:autoRedefine/>
    <w:qFormat/>
    <w:rsid w:val="005C6707"/>
    <w:pPr>
      <w:numPr>
        <w:ilvl w:val="1"/>
      </w:numPr>
    </w:pPr>
  </w:style>
  <w:style w:type="numbering" w:customStyle="1" w:styleId="Bakalka">
    <w:name w:val="Bakalářka"/>
    <w:uiPriority w:val="99"/>
    <w:rsid w:val="004A468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611A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5C611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PDnadpis3">
    <w:name w:val="PD nadpis 3"/>
    <w:basedOn w:val="PDnadpis2"/>
    <w:next w:val="PD"/>
    <w:autoRedefine/>
    <w:qFormat/>
    <w:rsid w:val="0085283C"/>
    <w:pPr>
      <w:numPr>
        <w:ilvl w:val="2"/>
      </w:numPr>
      <w:autoSpaceDE w:val="0"/>
      <w:autoSpaceDN w:val="0"/>
      <w:adjustRightInd w:val="0"/>
    </w:pPr>
    <w:rPr>
      <w:rFonts w:eastAsia="Calibri" w:cs="Segoe UI"/>
      <w:sz w:val="20"/>
      <w:szCs w:val="22"/>
      <w:lang w:eastAsia="en-US"/>
    </w:rPr>
  </w:style>
  <w:style w:type="paragraph" w:customStyle="1" w:styleId="PDnadpis4">
    <w:name w:val="PD nadpis 4"/>
    <w:basedOn w:val="PDnadpis3"/>
    <w:next w:val="PD"/>
    <w:qFormat/>
    <w:rsid w:val="00D33DBE"/>
    <w:pPr>
      <w:numPr>
        <w:ilvl w:val="3"/>
      </w:numPr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8413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413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13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4131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76E3F"/>
    <w:pPr>
      <w:keepNext/>
      <w:keepLines/>
      <w:spacing w:before="480" w:after="0" w:line="276" w:lineRule="auto"/>
      <w:jc w:val="left"/>
      <w:outlineLvl w:val="9"/>
    </w:pPr>
    <w:rPr>
      <w:rFonts w:ascii="Cambria" w:eastAsia="Times New Roman" w:hAnsi="Cambria"/>
      <w:b/>
      <w:bCs/>
      <w:caps w:val="0"/>
      <w:color w:val="365F91"/>
      <w:sz w:val="28"/>
      <w:szCs w:val="28"/>
    </w:rPr>
  </w:style>
  <w:style w:type="paragraph" w:styleId="Obsah1">
    <w:name w:val="toc 1"/>
    <w:aliases w:val="Bakalářka Obsah 1"/>
    <w:basedOn w:val="PDnadpis1"/>
    <w:next w:val="PD"/>
    <w:autoRedefine/>
    <w:uiPriority w:val="39"/>
    <w:unhideWhenUsed/>
    <w:rsid w:val="00C707C5"/>
    <w:pPr>
      <w:numPr>
        <w:numId w:val="0"/>
      </w:numPr>
      <w:tabs>
        <w:tab w:val="right" w:pos="284"/>
      </w:tabs>
      <w:spacing w:before="200" w:after="0" w:line="240" w:lineRule="auto"/>
    </w:pPr>
    <w:rPr>
      <w:rFonts w:cs="Times New Roman"/>
      <w:b/>
      <w:bCs/>
      <w:noProof/>
      <w:szCs w:val="22"/>
    </w:rPr>
  </w:style>
  <w:style w:type="paragraph" w:styleId="Obsah3">
    <w:name w:val="toc 3"/>
    <w:basedOn w:val="PDnadpis3"/>
    <w:next w:val="Normln"/>
    <w:autoRedefine/>
    <w:uiPriority w:val="39"/>
    <w:unhideWhenUsed/>
    <w:rsid w:val="0006750B"/>
    <w:pPr>
      <w:numPr>
        <w:ilvl w:val="0"/>
        <w:numId w:val="0"/>
      </w:numPr>
      <w:tabs>
        <w:tab w:val="left" w:pos="960"/>
        <w:tab w:val="right" w:leader="dot" w:pos="9060"/>
      </w:tabs>
      <w:spacing w:before="200" w:after="0" w:line="240" w:lineRule="auto"/>
      <w:ind w:left="340"/>
    </w:pPr>
    <w:rPr>
      <w:rFonts w:cs="Calibri"/>
      <w:noProof/>
      <w:szCs w:val="20"/>
    </w:rPr>
  </w:style>
  <w:style w:type="character" w:styleId="Hypertextovodkaz">
    <w:name w:val="Hyperlink"/>
    <w:uiPriority w:val="99"/>
    <w:unhideWhenUsed/>
    <w:rsid w:val="00F76E3F"/>
    <w:rPr>
      <w:color w:val="0000FF"/>
      <w:u w:val="single"/>
    </w:rPr>
  </w:style>
  <w:style w:type="character" w:customStyle="1" w:styleId="Nadpis2Char">
    <w:name w:val="Nadpis 2 Char"/>
    <w:link w:val="Nadpis2"/>
    <w:uiPriority w:val="9"/>
    <w:semiHidden/>
    <w:rsid w:val="00F76E3F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2B484B"/>
    <w:pPr>
      <w:ind w:left="720"/>
    </w:pPr>
    <w:rPr>
      <w:rFonts w:ascii="Calibri" w:hAnsi="Calibri" w:cs="Calibri"/>
      <w:sz w:val="20"/>
      <w:szCs w:val="20"/>
    </w:rPr>
  </w:style>
  <w:style w:type="paragraph" w:styleId="Obsah2">
    <w:name w:val="toc 2"/>
    <w:basedOn w:val="PDnadpis2"/>
    <w:next w:val="Normln"/>
    <w:autoRedefine/>
    <w:uiPriority w:val="39"/>
    <w:unhideWhenUsed/>
    <w:rsid w:val="00CF6778"/>
    <w:pPr>
      <w:numPr>
        <w:ilvl w:val="0"/>
        <w:numId w:val="0"/>
      </w:numPr>
      <w:tabs>
        <w:tab w:val="left" w:pos="720"/>
        <w:tab w:val="left" w:pos="960"/>
        <w:tab w:val="right" w:leader="dot" w:pos="9060"/>
      </w:tabs>
      <w:spacing w:before="200" w:after="0" w:line="240" w:lineRule="auto"/>
      <w:ind w:left="227"/>
    </w:pPr>
    <w:rPr>
      <w:rFonts w:cs="Segoe UI"/>
      <w:b/>
      <w:bCs/>
      <w:noProof/>
      <w:sz w:val="20"/>
      <w:szCs w:val="20"/>
    </w:rPr>
  </w:style>
  <w:style w:type="paragraph" w:styleId="Obsah4">
    <w:name w:val="toc 4"/>
    <w:basedOn w:val="PDnadpis4"/>
    <w:next w:val="Normln"/>
    <w:autoRedefine/>
    <w:uiPriority w:val="39"/>
    <w:unhideWhenUsed/>
    <w:rsid w:val="004F5A85"/>
    <w:pPr>
      <w:numPr>
        <w:ilvl w:val="0"/>
        <w:numId w:val="0"/>
      </w:numPr>
      <w:tabs>
        <w:tab w:val="left" w:pos="1440"/>
        <w:tab w:val="right" w:leader="dot" w:pos="9060"/>
      </w:tabs>
      <w:spacing w:before="200" w:after="0" w:line="240" w:lineRule="auto"/>
      <w:ind w:left="482"/>
    </w:pPr>
    <w:rPr>
      <w:rFonts w:cs="Calibri"/>
      <w:noProof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B484B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B484B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B484B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B484B"/>
    <w:pPr>
      <w:ind w:left="1680"/>
    </w:pPr>
    <w:rPr>
      <w:rFonts w:ascii="Calibri" w:hAnsi="Calibri" w:cs="Calibri"/>
      <w:sz w:val="20"/>
      <w:szCs w:val="20"/>
    </w:rPr>
  </w:style>
  <w:style w:type="paragraph" w:customStyle="1" w:styleId="PDPodtrenpodnadpis">
    <w:name w:val="PD Podtržený podnadpis"/>
    <w:basedOn w:val="PD"/>
    <w:link w:val="PDPodtrenpodnadpisChar"/>
    <w:qFormat/>
    <w:rsid w:val="00C86155"/>
    <w:rPr>
      <w:rFonts w:ascii="DINPro-Medium" w:eastAsia="Times New Roman" w:hAnsi="DINPro-Medium" w:cs="Times New Roman"/>
      <w:color w:val="auto"/>
      <w:szCs w:val="24"/>
      <w:u w:val="single"/>
      <w:lang w:val="x-none" w:eastAsia="cs-CZ"/>
    </w:rPr>
  </w:style>
  <w:style w:type="character" w:customStyle="1" w:styleId="PDPodtrenpodnadpisChar">
    <w:name w:val="PD Podtržený podnadpis Char"/>
    <w:link w:val="PDPodtrenpodnadpis"/>
    <w:rsid w:val="00C86155"/>
    <w:rPr>
      <w:rFonts w:ascii="DINPro-Medium" w:eastAsia="Times New Roman" w:hAnsi="DINPro-Medium"/>
      <w:szCs w:val="24"/>
      <w:u w:val="single"/>
      <w:lang w:val="x-none"/>
    </w:rPr>
  </w:style>
  <w:style w:type="paragraph" w:styleId="Zkladntextodsazen2">
    <w:name w:val="Body Text Indent 2"/>
    <w:basedOn w:val="Normln"/>
    <w:link w:val="Zkladntextodsazen2Char"/>
    <w:rsid w:val="00D676CC"/>
    <w:pPr>
      <w:tabs>
        <w:tab w:val="left" w:pos="709"/>
      </w:tabs>
      <w:ind w:left="709" w:hanging="709"/>
    </w:pPr>
    <w:rPr>
      <w:rFonts w:ascii="Arial" w:hAnsi="Arial"/>
      <w:color w:val="000000"/>
      <w:sz w:val="20"/>
      <w:szCs w:val="20"/>
      <w:lang w:val="x-none"/>
    </w:rPr>
  </w:style>
  <w:style w:type="character" w:customStyle="1" w:styleId="Zkladntextodsazen2Char">
    <w:name w:val="Základní text odsazený 2 Char"/>
    <w:link w:val="Zkladntextodsazen2"/>
    <w:rsid w:val="00D676CC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Aja-odstavec">
    <w:name w:val="Aja - odstavec"/>
    <w:basedOn w:val="Normln"/>
    <w:rsid w:val="00BA3BB8"/>
    <w:pPr>
      <w:spacing w:line="276" w:lineRule="auto"/>
      <w:ind w:left="426" w:firstLine="425"/>
      <w:outlineLvl w:val="7"/>
    </w:pPr>
    <w:rPr>
      <w:rFonts w:ascii="Calibri" w:hAnsi="Calibri" w:cs="Calibri"/>
      <w:sz w:val="22"/>
      <w:szCs w:val="22"/>
    </w:rPr>
  </w:style>
  <w:style w:type="paragraph" w:customStyle="1" w:styleId="Normln2">
    <w:name w:val="Normální2"/>
    <w:basedOn w:val="Normln"/>
    <w:rsid w:val="006B293E"/>
    <w:pPr>
      <w:widowControl w:val="0"/>
      <w:suppressAutoHyphens/>
    </w:pPr>
    <w:rPr>
      <w:rFonts w:ascii="Arial" w:hAnsi="Arial" w:cs="Arial Unicode MS"/>
      <w:sz w:val="20"/>
    </w:rPr>
  </w:style>
  <w:style w:type="paragraph" w:styleId="Textkomente">
    <w:name w:val="annotation text"/>
    <w:basedOn w:val="Normln"/>
    <w:link w:val="TextkomenteChar"/>
    <w:semiHidden/>
    <w:rsid w:val="006B293E"/>
    <w:rPr>
      <w:rFonts w:ascii="Arial" w:hAnsi="Arial"/>
      <w:color w:val="000000"/>
      <w:sz w:val="20"/>
      <w:szCs w:val="20"/>
      <w:lang w:val="x-none"/>
    </w:rPr>
  </w:style>
  <w:style w:type="character" w:customStyle="1" w:styleId="TextkomenteChar">
    <w:name w:val="Text komentáře Char"/>
    <w:link w:val="Textkomente"/>
    <w:semiHidden/>
    <w:rsid w:val="006B293E"/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F97A56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PodtitulChar">
    <w:name w:val="Podtitul Char"/>
    <w:link w:val="Podtitul"/>
    <w:uiPriority w:val="11"/>
    <w:rsid w:val="00F97A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F635D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5D7"/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635D7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paragraph" w:customStyle="1" w:styleId="Bakalkanadpis1">
    <w:name w:val="Bakalářka nadpis 1"/>
    <w:basedOn w:val="Odstavecseseznamem"/>
    <w:next w:val="Bakalkanormln"/>
    <w:autoRedefine/>
    <w:rsid w:val="003050BA"/>
    <w:pPr>
      <w:spacing w:after="200" w:line="288" w:lineRule="auto"/>
      <w:ind w:left="1134" w:hanging="794"/>
      <w:contextualSpacing w:val="0"/>
    </w:pPr>
    <w:rPr>
      <w:rFonts w:ascii="Segoe UI" w:hAnsi="Segoe UI" w:cs="Calibri"/>
      <w:b/>
      <w:sz w:val="22"/>
    </w:rPr>
  </w:style>
  <w:style w:type="paragraph" w:customStyle="1" w:styleId="Bakalkanormln">
    <w:name w:val="Bakalářka normální"/>
    <w:basedOn w:val="Normln"/>
    <w:link w:val="BakalkanormlnChar"/>
    <w:autoRedefine/>
    <w:rsid w:val="00AF54E9"/>
    <w:pPr>
      <w:tabs>
        <w:tab w:val="right" w:pos="9070"/>
      </w:tabs>
      <w:spacing w:after="360" w:line="288" w:lineRule="auto"/>
      <w:ind w:firstLine="567"/>
    </w:pPr>
    <w:rPr>
      <w:rFonts w:ascii="Segoe UI" w:hAnsi="Segoe UI"/>
      <w:sz w:val="20"/>
      <w:szCs w:val="20"/>
      <w:lang w:val="x-none"/>
    </w:rPr>
  </w:style>
  <w:style w:type="paragraph" w:customStyle="1" w:styleId="Bakalkanadpis2">
    <w:name w:val="Bakalářka nadpis 2"/>
    <w:basedOn w:val="Bakalkanadpis1"/>
    <w:next w:val="Bakalkanormln"/>
    <w:autoRedefine/>
    <w:rsid w:val="003050BA"/>
  </w:style>
  <w:style w:type="paragraph" w:customStyle="1" w:styleId="Bakalkanadpis3">
    <w:name w:val="Bakalářka nadpis 3"/>
    <w:basedOn w:val="Bakalkanadpis2"/>
    <w:next w:val="Bakalkanormln"/>
    <w:autoRedefine/>
    <w:rsid w:val="003050BA"/>
  </w:style>
  <w:style w:type="paragraph" w:customStyle="1" w:styleId="Bakalkanadpis4">
    <w:name w:val="Bakalářka nadpis 4"/>
    <w:basedOn w:val="Bakalkanadpis3"/>
    <w:next w:val="Bakalkanormln"/>
    <w:rsid w:val="003050BA"/>
  </w:style>
  <w:style w:type="paragraph" w:customStyle="1" w:styleId="Podtrenejnadpis">
    <w:name w:val="Podtrženej nadpis"/>
    <w:basedOn w:val="Bakalkanormln"/>
    <w:link w:val="PodtrenejnadpisChar"/>
    <w:rsid w:val="003050BA"/>
    <w:pPr>
      <w:spacing w:after="120"/>
    </w:pPr>
    <w:rPr>
      <w:u w:val="single"/>
    </w:rPr>
  </w:style>
  <w:style w:type="character" w:customStyle="1" w:styleId="PodtrenejnadpisChar">
    <w:name w:val="Podtrženej nadpis Char"/>
    <w:link w:val="Podtrenejnadpis"/>
    <w:rsid w:val="003050BA"/>
    <w:rPr>
      <w:rFonts w:ascii="Segoe UI" w:eastAsia="Times New Roman" w:hAnsi="Segoe UI" w:cs="Arial"/>
      <w:sz w:val="20"/>
      <w:szCs w:val="20"/>
      <w:u w:val="single"/>
      <w:lang w:eastAsia="cs-CZ"/>
    </w:rPr>
  </w:style>
  <w:style w:type="numbering" w:customStyle="1" w:styleId="B">
    <w:name w:val="B"/>
    <w:uiPriority w:val="99"/>
    <w:rsid w:val="006A75AE"/>
    <w:pPr>
      <w:numPr>
        <w:numId w:val="2"/>
      </w:numPr>
    </w:pPr>
  </w:style>
  <w:style w:type="character" w:customStyle="1" w:styleId="Nadpis5Char">
    <w:name w:val="Nadpis 5 Char"/>
    <w:link w:val="Nadpis5"/>
    <w:uiPriority w:val="9"/>
    <w:semiHidden/>
    <w:rsid w:val="00C65BE1"/>
    <w:rPr>
      <w:rFonts w:ascii="Cambria" w:eastAsia="Times New Roman" w:hAnsi="Cambria" w:cs="Times New Roman"/>
      <w:color w:val="243F60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A746CD"/>
  </w:style>
  <w:style w:type="character" w:customStyle="1" w:styleId="BakalkanormlnChar">
    <w:name w:val="Bakalářka normální Char"/>
    <w:link w:val="Bakalkanormln"/>
    <w:rsid w:val="00AF54E9"/>
    <w:rPr>
      <w:rFonts w:ascii="Segoe UI" w:eastAsia="Times New Roman" w:hAnsi="Segoe UI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D33D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21423-DD13-44BE-9E55-90C0FA74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1629</Words>
  <Characters>9613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cp:lastModifiedBy>TopTradeProfi Projekce</cp:lastModifiedBy>
  <cp:revision>3</cp:revision>
  <cp:lastPrinted>2018-02-14T08:12:00Z</cp:lastPrinted>
  <dcterms:created xsi:type="dcterms:W3CDTF">2018-02-14T08:44:00Z</dcterms:created>
  <dcterms:modified xsi:type="dcterms:W3CDTF">2018-02-20T09:02:00Z</dcterms:modified>
</cp:coreProperties>
</file>